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0AC10">
      <w:pPr>
        <w:snapToGrid w:val="0"/>
        <w:spacing w:line="840" w:lineRule="exact"/>
        <w:ind w:right="-19" w:rightChars="-6"/>
        <w:jc w:val="left"/>
        <w:rPr>
          <w:rFonts w:ascii="黑体" w:hAnsi="黑体" w:eastAsia="黑体"/>
          <w:szCs w:val="32"/>
        </w:rPr>
      </w:pPr>
      <w:r>
        <w:rPr>
          <w:rFonts w:hint="eastAsia" w:ascii="黑体" w:hAnsi="宋体" w:eastAsia="黑体"/>
          <w:b/>
          <w:bCs/>
          <w:color w:val="000000"/>
          <w:sz w:val="48"/>
          <w:szCs w:val="48"/>
        </w:rPr>
        <w:t xml:space="preserve"> </w:t>
      </w:r>
      <w:r>
        <w:rPr>
          <w:rFonts w:hint="eastAsia" w:ascii="黑体" w:hAnsi="黑体" w:eastAsia="黑体"/>
          <w:szCs w:val="32"/>
        </w:rPr>
        <w:t>附件1</w:t>
      </w:r>
    </w:p>
    <w:p w14:paraId="1D2D0E1D">
      <w:pPr>
        <w:snapToGrid w:val="0"/>
        <w:spacing w:line="840" w:lineRule="exact"/>
        <w:ind w:right="-19" w:rightChars="-6"/>
        <w:jc w:val="center"/>
        <w:rPr>
          <w:rFonts w:ascii="黑体" w:hAnsi="宋体" w:eastAsia="黑体"/>
          <w:b/>
          <w:bCs/>
          <w:color w:val="000000"/>
          <w:sz w:val="48"/>
          <w:szCs w:val="48"/>
        </w:rPr>
      </w:pPr>
      <w:r>
        <w:rPr>
          <w:rFonts w:hint="eastAsia" w:ascii="黑体" w:hAnsi="黑体" w:eastAsia="黑体"/>
          <w:b/>
          <w:bCs/>
          <w:color w:val="000000"/>
          <w:sz w:val="48"/>
          <w:szCs w:val="48"/>
        </w:rPr>
        <w:t>闽南师范大学全日制博士研究生</w:t>
      </w:r>
    </w:p>
    <w:p w14:paraId="082030DC">
      <w:pPr>
        <w:snapToGrid w:val="0"/>
        <w:spacing w:line="840" w:lineRule="exact"/>
        <w:ind w:right="-19" w:rightChars="-6"/>
        <w:jc w:val="center"/>
        <w:rPr>
          <w:rFonts w:ascii="黑体" w:hAnsi="宋体" w:eastAsia="黑体"/>
          <w:b/>
          <w:bCs/>
          <w:color w:val="000000"/>
          <w:sz w:val="48"/>
          <w:szCs w:val="48"/>
        </w:rPr>
      </w:pPr>
      <w:r>
        <w:rPr>
          <w:rFonts w:hint="eastAsia" w:ascii="黑体" w:hAnsi="黑体" w:eastAsia="黑体"/>
          <w:b/>
          <w:bCs/>
          <w:color w:val="000000"/>
          <w:sz w:val="48"/>
          <w:szCs w:val="48"/>
        </w:rPr>
        <w:t>培养方案</w:t>
      </w:r>
    </w:p>
    <w:p w14:paraId="58271B33">
      <w:pPr>
        <w:spacing w:line="560" w:lineRule="exact"/>
        <w:ind w:right="-19" w:rightChars="-6"/>
        <w:jc w:val="center"/>
        <w:rPr>
          <w:rFonts w:ascii="黑体" w:hAnsi="宋体" w:eastAsia="黑体"/>
          <w:color w:val="000000"/>
          <w:sz w:val="52"/>
          <w:szCs w:val="52"/>
        </w:rPr>
      </w:pPr>
      <w:r>
        <w:rPr>
          <w:rFonts w:hint="eastAsia" w:ascii="黑体" w:hAnsi="宋体" w:eastAsia="黑体"/>
          <w:color w:val="000000"/>
          <w:sz w:val="52"/>
          <w:szCs w:val="52"/>
        </w:rPr>
        <w:t xml:space="preserve"> </w:t>
      </w:r>
    </w:p>
    <w:p w14:paraId="60940A35">
      <w:pPr>
        <w:spacing w:line="560" w:lineRule="exact"/>
        <w:ind w:right="-19" w:rightChars="-6"/>
        <w:jc w:val="center"/>
        <w:rPr>
          <w:rFonts w:ascii="黑体" w:hAnsi="宋体" w:eastAsia="黑体"/>
          <w:color w:val="000000"/>
          <w:sz w:val="44"/>
          <w:szCs w:val="44"/>
        </w:rPr>
      </w:pPr>
      <w:r>
        <w:rPr>
          <w:rFonts w:hint="eastAsia" w:ascii="黑体" w:hAnsi="宋体" w:eastAsia="黑体"/>
          <w:color w:val="000000"/>
          <w:sz w:val="44"/>
          <w:szCs w:val="44"/>
        </w:rPr>
        <w:t xml:space="preserve"> </w:t>
      </w:r>
    </w:p>
    <w:p w14:paraId="787AA803">
      <w:pPr>
        <w:spacing w:line="560" w:lineRule="exact"/>
        <w:ind w:right="-19" w:rightChars="-6"/>
        <w:jc w:val="center"/>
        <w:rPr>
          <w:rFonts w:ascii="黑体" w:hAnsi="宋体" w:eastAsia="黑体"/>
          <w:color w:val="000000"/>
          <w:sz w:val="44"/>
          <w:szCs w:val="44"/>
        </w:rPr>
      </w:pPr>
      <w:r>
        <w:rPr>
          <w:rFonts w:hint="eastAsia" w:ascii="黑体" w:hAnsi="宋体" w:eastAsia="黑体"/>
          <w:color w:val="000000"/>
          <w:sz w:val="44"/>
          <w:szCs w:val="44"/>
        </w:rPr>
        <w:t xml:space="preserve"> </w:t>
      </w:r>
    </w:p>
    <w:p w14:paraId="69484FD3">
      <w:pPr>
        <w:spacing w:before="312" w:beforeLines="100" w:after="312" w:afterLines="100" w:line="560" w:lineRule="exact"/>
        <w:ind w:right="-19" w:rightChars="-6" w:firstLine="720" w:firstLineChars="200"/>
        <w:jc w:val="left"/>
        <w:rPr>
          <w:rFonts w:ascii="宋体" w:hAnsi="宋体" w:eastAsia="宋体"/>
          <w:color w:val="000000"/>
          <w:sz w:val="36"/>
          <w:szCs w:val="36"/>
          <w:u w:val="single"/>
        </w:rPr>
      </w:pPr>
      <w:r>
        <w:rPr>
          <w:rFonts w:hint="eastAsia" w:ascii="宋体" w:hAnsi="宋体" w:eastAsia="宋体"/>
          <w:color w:val="000000"/>
          <w:sz w:val="36"/>
          <w:szCs w:val="36"/>
        </w:rPr>
        <w:t>学科名称：</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eastAsia="zh-CN"/>
        </w:rPr>
        <w:t>中国语言文学</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rPr>
        <w:t xml:space="preserve">  </w:t>
      </w:r>
    </w:p>
    <w:p w14:paraId="6C9F3EFD">
      <w:pPr>
        <w:spacing w:before="312" w:beforeLines="100" w:after="312" w:afterLines="100" w:line="680" w:lineRule="exact"/>
        <w:ind w:right="-19" w:rightChars="-6" w:firstLine="720" w:firstLineChars="200"/>
        <w:jc w:val="left"/>
        <w:rPr>
          <w:rFonts w:ascii="宋体" w:hAnsi="宋体" w:eastAsia="宋体"/>
          <w:color w:val="000000"/>
          <w:sz w:val="44"/>
          <w:szCs w:val="44"/>
          <w:u w:val="single"/>
        </w:rPr>
      </w:pPr>
      <w:r>
        <w:rPr>
          <w:rFonts w:hint="eastAsia" w:ascii="宋体" w:hAnsi="宋体" w:eastAsia="宋体"/>
          <w:sz w:val="36"/>
          <w:szCs w:val="36"/>
        </w:rPr>
        <w:t>学科代码：</w:t>
      </w:r>
      <w:r>
        <w:rPr>
          <w:rFonts w:hint="eastAsia" w:ascii="宋体" w:hAnsi="宋体" w:eastAsia="宋体"/>
          <w:color w:val="000000"/>
          <w:sz w:val="36"/>
          <w:szCs w:val="36"/>
          <w:u w:val="single"/>
        </w:rPr>
        <w:t xml:space="preserve">   0501</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rPr>
        <w:t xml:space="preserve">          </w:t>
      </w:r>
    </w:p>
    <w:p w14:paraId="6BC154E2">
      <w:pPr>
        <w:spacing w:before="312" w:beforeLines="100" w:after="312" w:afterLines="100" w:line="680" w:lineRule="exact"/>
        <w:ind w:right="-19" w:rightChars="-6" w:firstLine="720" w:firstLineChars="200"/>
        <w:jc w:val="left"/>
        <w:rPr>
          <w:rFonts w:ascii="宋体" w:hAnsi="宋体" w:eastAsia="宋体"/>
          <w:color w:val="000000"/>
          <w:sz w:val="36"/>
          <w:szCs w:val="36"/>
          <w:u w:val="single"/>
        </w:rPr>
      </w:pPr>
      <w:r>
        <w:rPr>
          <w:rFonts w:hint="eastAsia" w:ascii="宋体" w:hAnsi="宋体" w:eastAsia="宋体"/>
          <w:sz w:val="36"/>
          <w:szCs w:val="36"/>
        </w:rPr>
        <w:t>培养方向：</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eastAsia="zh-CN"/>
        </w:rPr>
        <w:t>比较文学与世界文学</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rPr>
        <w:t xml:space="preserve">  </w:t>
      </w:r>
    </w:p>
    <w:p w14:paraId="53F69BE5">
      <w:pPr>
        <w:spacing w:before="312" w:beforeLines="100" w:after="312" w:afterLines="100" w:line="680" w:lineRule="exact"/>
        <w:ind w:right="-19" w:rightChars="-6" w:firstLine="720" w:firstLineChars="200"/>
        <w:jc w:val="left"/>
        <w:rPr>
          <w:rFonts w:ascii="宋体" w:hAnsi="宋体" w:eastAsia="宋体"/>
          <w:color w:val="000000"/>
          <w:sz w:val="36"/>
          <w:szCs w:val="36"/>
          <w:u w:val="single"/>
        </w:rPr>
      </w:pPr>
      <w:r>
        <w:rPr>
          <w:rFonts w:hint="eastAsia" w:ascii="宋体" w:hAnsi="宋体" w:eastAsia="宋体"/>
          <w:sz w:val="36"/>
          <w:szCs w:val="36"/>
        </w:rPr>
        <w:t>培养单位：</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文学院</w:t>
      </w:r>
      <w:r>
        <w:rPr>
          <w:rFonts w:hint="eastAsia" w:ascii="宋体" w:hAnsi="宋体" w:eastAsia="宋体"/>
          <w:color w:val="000000"/>
          <w:sz w:val="36"/>
          <w:szCs w:val="36"/>
          <w:u w:val="single"/>
        </w:rPr>
        <w:t xml:space="preserve">               </w:t>
      </w:r>
    </w:p>
    <w:p w14:paraId="7D32F5C4">
      <w:pPr>
        <w:spacing w:before="312" w:beforeLines="100" w:after="312" w:afterLines="100" w:line="680" w:lineRule="exact"/>
        <w:ind w:right="-19" w:rightChars="-6" w:firstLine="720" w:firstLineChars="200"/>
        <w:jc w:val="left"/>
        <w:rPr>
          <w:rFonts w:hint="eastAsia" w:ascii="宋体" w:hAnsi="宋体" w:eastAsia="宋体"/>
          <w:color w:val="000000"/>
          <w:sz w:val="36"/>
          <w:szCs w:val="36"/>
          <w:u w:val="single"/>
          <w:lang w:val="en-US" w:eastAsia="zh-CN"/>
        </w:rPr>
      </w:pPr>
      <w:r>
        <w:rPr>
          <w:rFonts w:hint="eastAsia" w:ascii="宋体" w:hAnsi="宋体" w:eastAsia="宋体"/>
          <w:sz w:val="36"/>
          <w:szCs w:val="36"/>
        </w:rPr>
        <w:t>填表日期：</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2024年6月</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p>
    <w:p w14:paraId="580CD5A8">
      <w:pPr>
        <w:spacing w:before="312" w:beforeLines="100" w:after="312" w:afterLines="100" w:line="560" w:lineRule="exact"/>
        <w:ind w:right="-19" w:rightChars="-6"/>
        <w:rPr>
          <w:rFonts w:ascii="宋体" w:hAnsi="宋体" w:eastAsia="宋体"/>
          <w:sz w:val="30"/>
          <w:szCs w:val="30"/>
        </w:rPr>
      </w:pPr>
      <w:r>
        <w:rPr>
          <w:rFonts w:hint="eastAsia" w:ascii="宋体" w:hAnsi="宋体" w:eastAsia="宋体"/>
          <w:sz w:val="30"/>
          <w:szCs w:val="30"/>
        </w:rPr>
        <w:t xml:space="preserve"> </w:t>
      </w:r>
    </w:p>
    <w:p w14:paraId="21AA147F">
      <w:pPr>
        <w:spacing w:line="560" w:lineRule="exact"/>
        <w:ind w:right="-19" w:rightChars="-6"/>
        <w:jc w:val="center"/>
        <w:rPr>
          <w:rFonts w:ascii="宋体" w:hAnsi="宋体" w:eastAsia="宋体"/>
          <w:sz w:val="30"/>
          <w:szCs w:val="30"/>
        </w:rPr>
      </w:pPr>
      <w:r>
        <w:rPr>
          <w:rFonts w:hint="eastAsia" w:ascii="宋体" w:hAnsi="宋体" w:eastAsia="宋体"/>
          <w:sz w:val="30"/>
          <w:szCs w:val="30"/>
        </w:rPr>
        <w:t xml:space="preserve"> </w:t>
      </w:r>
    </w:p>
    <w:p w14:paraId="2CF8BB35">
      <w:pPr>
        <w:spacing w:line="560" w:lineRule="exact"/>
        <w:ind w:right="-19" w:rightChars="-6"/>
        <w:rPr>
          <w:rFonts w:ascii="宋体" w:hAnsi="宋体" w:eastAsia="宋体"/>
          <w:szCs w:val="32"/>
        </w:rPr>
      </w:pPr>
      <w:r>
        <w:rPr>
          <w:rFonts w:hint="eastAsia" w:ascii="宋体" w:hAnsi="宋体" w:eastAsia="宋体"/>
          <w:szCs w:val="32"/>
        </w:rPr>
        <w:t xml:space="preserve"> </w:t>
      </w:r>
    </w:p>
    <w:p w14:paraId="404F2C99">
      <w:pPr>
        <w:spacing w:line="560" w:lineRule="exact"/>
        <w:ind w:right="-19" w:rightChars="-6"/>
        <w:jc w:val="center"/>
        <w:rPr>
          <w:rFonts w:ascii="宋体" w:hAnsi="宋体" w:eastAsia="宋体"/>
          <w:szCs w:val="32"/>
        </w:rPr>
      </w:pPr>
      <w:r>
        <w:rPr>
          <w:rFonts w:hint="eastAsia" w:ascii="宋体" w:hAnsi="宋体" w:eastAsia="宋体"/>
          <w:szCs w:val="32"/>
        </w:rPr>
        <w:t>学科建设与研究生工作处制</w:t>
      </w:r>
    </w:p>
    <w:p w14:paraId="21047149">
      <w:pPr>
        <w:spacing w:line="560" w:lineRule="exact"/>
        <w:ind w:right="-19" w:rightChars="-6"/>
        <w:jc w:val="center"/>
        <w:rPr>
          <w:rFonts w:ascii="宋体" w:hAnsi="宋体" w:eastAsia="宋体"/>
          <w:szCs w:val="32"/>
        </w:rPr>
      </w:pPr>
      <w:r>
        <w:rPr>
          <w:rFonts w:hint="eastAsia" w:ascii="宋体" w:hAnsi="宋体" w:eastAsia="宋体"/>
          <w:szCs w:val="32"/>
        </w:rPr>
        <w:t>2021年6月</w:t>
      </w:r>
    </w:p>
    <w:p w14:paraId="5186F57D">
      <w:pPr>
        <w:spacing w:line="540" w:lineRule="exact"/>
        <w:ind w:left="640" w:right="-19" w:rightChars="-6"/>
        <w:rPr>
          <w:rFonts w:ascii="黑体" w:hAnsi="黑体" w:eastAsia="黑体"/>
          <w:szCs w:val="32"/>
        </w:rPr>
      </w:pPr>
    </w:p>
    <w:p w14:paraId="3FA0A721">
      <w:pPr>
        <w:spacing w:line="540" w:lineRule="exact"/>
        <w:ind w:left="640" w:right="-19" w:rightChars="-6"/>
        <w:rPr>
          <w:rFonts w:ascii="仿宋_GB2312"/>
          <w:b/>
          <w:bCs/>
          <w:color w:val="FF0000"/>
          <w:sz w:val="28"/>
          <w:szCs w:val="28"/>
        </w:rPr>
      </w:pPr>
      <w:r>
        <w:rPr>
          <w:rFonts w:hint="eastAsia" w:ascii="黑体" w:hAnsi="黑体" w:eastAsia="黑体"/>
          <w:szCs w:val="32"/>
        </w:rPr>
        <w:t>一、学科概况</w:t>
      </w:r>
    </w:p>
    <w:p w14:paraId="6140FFD5">
      <w:pPr>
        <w:spacing w:line="540" w:lineRule="atLeast"/>
        <w:ind w:right="-19" w:rightChars="-6"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rPr>
        <w:t>比较文学与世界文学专业是中国语言文学学科下的重要二级学科，</w:t>
      </w:r>
      <w:r>
        <w:rPr>
          <w:rFonts w:hint="eastAsia" w:ascii="Times New Roman" w:hAnsi="Times New Roman" w:eastAsia="仿宋_GB2312" w:cs="Times New Roman"/>
          <w:sz w:val="30"/>
          <w:szCs w:val="30"/>
          <w:lang w:val="en-US" w:eastAsia="zh-CN"/>
        </w:rPr>
        <w:t>闽南师范大学文学院2007年开始本学科的硕士研究生招生，2023年开始博士研究生招生。本学科与国内外同行有广泛的联系，经常举办学术活动，并邀请著名学者前来讲学。导师队伍结构合理，实力雄厚，现有博士生导师3人，硕士生导师6人，</w:t>
      </w:r>
      <w:r>
        <w:rPr>
          <w:rFonts w:hint="eastAsia" w:ascii="Times New Roman" w:hAnsi="Times New Roman" w:eastAsia="仿宋_GB2312" w:cs="Times New Roman"/>
          <w:sz w:val="30"/>
          <w:szCs w:val="30"/>
        </w:rPr>
        <w:t>主持国家级</w:t>
      </w:r>
      <w:r>
        <w:rPr>
          <w:rFonts w:hint="eastAsia" w:ascii="Times New Roman" w:hAnsi="Times New Roman" w:eastAsia="仿宋_GB2312" w:cs="Times New Roman"/>
          <w:sz w:val="30"/>
          <w:szCs w:val="30"/>
          <w:lang w:val="en-US" w:eastAsia="zh-CN"/>
        </w:rPr>
        <w:t>项目6项</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出版专著多部，在A@HCI、CSSCI等各类学术刊物上发表论文近200篇。本学科较早进行美国族裔文学研究，在这方面有较为深厚的学术积淀，研究成果也得到了学界的认可，现设置有世界族裔文学研究、中西比较诗学2个研究方向。</w:t>
      </w:r>
    </w:p>
    <w:p w14:paraId="56C06452">
      <w:pPr>
        <w:spacing w:line="540" w:lineRule="exact"/>
        <w:ind w:right="-19" w:rightChars="-6" w:firstLine="640" w:firstLineChars="200"/>
        <w:rPr>
          <w:rFonts w:ascii="黑体" w:hAnsi="黑体" w:eastAsia="黑体"/>
          <w:szCs w:val="32"/>
        </w:rPr>
      </w:pPr>
      <w:r>
        <w:rPr>
          <w:rFonts w:hint="eastAsia" w:ascii="黑体" w:hAnsi="黑体" w:eastAsia="黑体"/>
          <w:szCs w:val="32"/>
        </w:rPr>
        <w:t>二、培养方向</w:t>
      </w:r>
    </w:p>
    <w:p w14:paraId="6EFE5D12">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1．世界族裔文学研究</w:t>
      </w:r>
    </w:p>
    <w:p w14:paraId="3684EF0E">
      <w:pPr>
        <w:spacing w:line="540" w:lineRule="atLeast"/>
        <w:ind w:right="-19" w:rightChars="-6"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文化与族裔的多元化成为是世界各国突出的社会现象，族裔性也成为国别文学突出的特点。本方向用跨学科的视角审视族裔文学，将族裔文学置身于特定的文化之中，探索文学与文化的双向互动。本研究重点有：一、在多元文化冲突与融合的背景中探索美国族裔文学的生成及其演变，分析美国族裔文学价值取向及其现代性表现手法；二、从伦理批评、生态批评、文学人类学等角度分析族裔文学的价值新变。</w:t>
      </w:r>
    </w:p>
    <w:p w14:paraId="3F69B4DD">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2．中西比较诗学</w:t>
      </w:r>
    </w:p>
    <w:p w14:paraId="34E1134D">
      <w:pPr>
        <w:spacing w:line="540" w:lineRule="atLeast"/>
        <w:ind w:right="-19" w:rightChars="-6"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这一方向立足于中国文化与文学，以外国文学和诗学为参照，以平等对话的原则进行跨文化研究，把握全球化语境下民族文学与文化发展的特点和规律。研究的重点有：一、中西文学的平行研究，探索中西文学在诗学命题、主题、题材、文体特征等方面通约性与差异性，探求中国式现代化语境下中国文学与诗学发展的可能性路径；二、从影响——关系的层面分析中国文学与东亚文学的在不同时期的特殊关系，探求世界文学格局中东亚文学共同体的可能性。</w:t>
      </w:r>
    </w:p>
    <w:p w14:paraId="06BB06A3">
      <w:pPr>
        <w:spacing w:line="540" w:lineRule="exact"/>
        <w:ind w:left="800" w:leftChars="250" w:right="-19" w:rightChars="-6" w:firstLine="160" w:firstLineChars="50"/>
        <w:rPr>
          <w:rFonts w:hint="eastAsia" w:ascii="楷体" w:hAnsi="楷体" w:eastAsia="楷体" w:cs="黑体"/>
          <w:color w:val="FF0000"/>
          <w:sz w:val="21"/>
        </w:rPr>
      </w:pPr>
      <w:r>
        <w:rPr>
          <w:rFonts w:hint="eastAsia" w:ascii="黑体" w:hAnsi="黑体" w:eastAsia="黑体"/>
          <w:szCs w:val="32"/>
        </w:rPr>
        <w:t>三、培养目标</w:t>
      </w:r>
    </w:p>
    <w:p w14:paraId="798A1E55">
      <w:pPr>
        <w:spacing w:line="540" w:lineRule="exact"/>
        <w:ind w:right="-19" w:rightChars="-6" w:firstLine="600" w:firstLineChars="200"/>
        <w:rPr>
          <w:rFonts w:hint="eastAsia" w:ascii="楷体" w:hAnsi="楷体" w:eastAsia="楷体" w:cs="黑体"/>
          <w:color w:val="FF0000"/>
          <w:sz w:val="21"/>
        </w:rPr>
      </w:pPr>
      <w:r>
        <w:rPr>
          <w:rFonts w:hint="eastAsia" w:ascii="Times New Roman" w:hAnsi="Times New Roman" w:eastAsia="仿宋_GB2312" w:cs="Times New Roman"/>
          <w:sz w:val="30"/>
          <w:szCs w:val="30"/>
          <w:lang w:val="en-US" w:eastAsia="zh-CN"/>
        </w:rPr>
        <w:t>本学科培养适应国家和社会发展的需要，具备扎实的理论功底、开阔的文化视野、良好的外语能力，成为能够独立从事专业研究或文化宣传等相关工作的高素质人才。（一）热爱中国共产党，热爱祖国，胸襟开阔，具有丰厚的人文素质与高尚的道德情操；（二）有严谨的治学态度和良好的学风，掌握扎实的本专业领域的专业知识和理论知识，了解本学科领域的学术动态，勇于创新，在学科某一领域作出有一定影响力的贡献；（三）至少掌握一门外国语，能熟练阅读本专业的外文资料，具有一定的写作能力和进行国际学术交流的能力。</w:t>
      </w:r>
    </w:p>
    <w:p w14:paraId="6D3E073C">
      <w:pPr>
        <w:spacing w:line="540" w:lineRule="exact"/>
        <w:ind w:right="-19" w:rightChars="-6" w:firstLine="640" w:firstLineChars="200"/>
        <w:rPr>
          <w:rFonts w:hint="eastAsia" w:ascii="黑体" w:hAnsi="黑体" w:eastAsia="黑体"/>
          <w:szCs w:val="32"/>
        </w:rPr>
      </w:pPr>
      <w:r>
        <w:rPr>
          <w:rFonts w:hint="eastAsia" w:ascii="黑体" w:hAnsi="黑体" w:eastAsia="黑体"/>
          <w:szCs w:val="32"/>
        </w:rPr>
        <w:t>四、标准学制</w:t>
      </w:r>
    </w:p>
    <w:p w14:paraId="2AF7DA75">
      <w:pPr>
        <w:spacing w:line="540" w:lineRule="atLeast"/>
        <w:ind w:right="-19" w:rightChars="-6"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标准学制为4年，在标准学制内未完成学业的，可根据学校有关研究生学籍管理规定延长在校学习年限。</w:t>
      </w:r>
    </w:p>
    <w:p w14:paraId="39E6E122">
      <w:pPr>
        <w:spacing w:line="540" w:lineRule="exact"/>
        <w:ind w:right="-19" w:rightChars="-6" w:firstLine="640" w:firstLineChars="200"/>
        <w:rPr>
          <w:rFonts w:hint="eastAsia" w:ascii="黑体" w:hAnsi="黑体" w:eastAsia="黑体"/>
          <w:szCs w:val="32"/>
        </w:rPr>
      </w:pPr>
      <w:r>
        <w:rPr>
          <w:rFonts w:hint="eastAsia" w:ascii="黑体" w:hAnsi="黑体" w:eastAsia="黑体"/>
          <w:szCs w:val="32"/>
        </w:rPr>
        <w:t>五、培养方式</w:t>
      </w:r>
    </w:p>
    <w:p w14:paraId="1A855C72">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采取导师“集体指导与个别负责相结合”的方式，充分发挥导师团队培养的优势，通过课程学习、科学研究、学术交流、专业实践等环节的系统学习，培养学生掌握所在学科的理论知识和综合能力。在保证基本要求的前提下，引进校内外各种优质教育资源，与国内知名高校和科研院所建立联合培养、协同育人的培养机制。</w:t>
      </w:r>
    </w:p>
    <w:p w14:paraId="589AC916">
      <w:pPr>
        <w:spacing w:line="540" w:lineRule="exact"/>
        <w:ind w:left="640" w:right="-19" w:rightChars="-6"/>
        <w:rPr>
          <w:rFonts w:hint="eastAsia" w:ascii="黑体" w:hAnsi="黑体" w:eastAsia="黑体"/>
          <w:szCs w:val="32"/>
        </w:rPr>
      </w:pPr>
      <w:r>
        <w:rPr>
          <w:rFonts w:hint="eastAsia" w:ascii="黑体" w:hAnsi="黑体" w:eastAsia="黑体"/>
          <w:szCs w:val="32"/>
        </w:rPr>
        <w:t>六、学分学时</w:t>
      </w:r>
    </w:p>
    <w:p w14:paraId="67038FB7">
      <w:pPr>
        <w:overflowPunct w:val="0"/>
        <w:adjustRightInd w:val="0"/>
        <w:snapToGrid w:val="0"/>
        <w:spacing w:line="54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博士生在攻读博士学位期间获得总学分不得少于18学分，其中课程学习不少于14学分，必修环节不少于4学分。</w:t>
      </w:r>
    </w:p>
    <w:p w14:paraId="784FCB1F">
      <w:pPr>
        <w:spacing w:line="540" w:lineRule="exact"/>
        <w:ind w:left="640" w:right="-19" w:rightChars="-6"/>
        <w:rPr>
          <w:rFonts w:hint="eastAsia" w:ascii="黑体" w:hAnsi="黑体" w:eastAsia="黑体"/>
          <w:szCs w:val="32"/>
        </w:rPr>
      </w:pPr>
      <w:r>
        <w:rPr>
          <w:rFonts w:hint="eastAsia" w:ascii="黑体" w:hAnsi="黑体" w:eastAsia="黑体"/>
          <w:szCs w:val="32"/>
        </w:rPr>
        <w:t>七、课程结构</w:t>
      </w:r>
    </w:p>
    <w:p w14:paraId="2352AB8D">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课程分为必修课程（学位课程）和选修课程，其中必修课程包括公共必修课、学科基础课、方向必修课三类。</w:t>
      </w:r>
    </w:p>
    <w:p w14:paraId="6CD02B52">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1.公共必修课</w:t>
      </w:r>
    </w:p>
    <w:p w14:paraId="3F4CE4D8">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博士生公共必修课包括中国马克思主义与当代（2学分），马克思恩格斯列宁经典著作选读（1学分）和博士英语（3学分），计6学分。</w:t>
      </w:r>
    </w:p>
    <w:p w14:paraId="51935E3C">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2.学科基础课</w:t>
      </w:r>
    </w:p>
    <w:p w14:paraId="2EE2D8FF">
      <w:pPr>
        <w:spacing w:line="540" w:lineRule="atLeast"/>
        <w:ind w:right="-19" w:rightChars="-6" w:firstLine="600" w:firstLineChars="200"/>
        <w:rPr>
          <w:rFonts w:hint="eastAsia" w:cs="Times New Roman"/>
          <w:sz w:val="30"/>
          <w:szCs w:val="30"/>
          <w:lang w:val="en-US" w:eastAsia="zh-CN"/>
        </w:rPr>
      </w:pPr>
      <w:r>
        <w:rPr>
          <w:rFonts w:hint="eastAsia" w:ascii="Times New Roman" w:hAnsi="Times New Roman" w:eastAsia="仿宋_GB2312" w:cs="Times New Roman"/>
          <w:sz w:val="30"/>
          <w:szCs w:val="30"/>
          <w:lang w:val="en-US" w:eastAsia="zh-CN"/>
        </w:rPr>
        <w:t>学科基础课应结合博士生培养需求，根据《学术学位研究生核心课程指南》</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本学科的基础课有《文学研究的观念方法与史料学》</w:t>
      </w:r>
      <w:r>
        <w:rPr>
          <w:rFonts w:hint="eastAsia" w:cs="Times New Roman"/>
          <w:sz w:val="30"/>
          <w:szCs w:val="30"/>
          <w:lang w:val="en-US" w:eastAsia="zh-CN"/>
        </w:rPr>
        <w:t>（2学分）、《西方学术名著原版研读》（1学分）、</w:t>
      </w:r>
      <w:r>
        <w:rPr>
          <w:rFonts w:hint="eastAsia" w:ascii="Times New Roman" w:hAnsi="Times New Roman" w:eastAsia="仿宋_GB2312" w:cs="Times New Roman"/>
          <w:sz w:val="30"/>
          <w:szCs w:val="30"/>
          <w:lang w:val="en-US" w:eastAsia="zh-CN"/>
        </w:rPr>
        <w:t>《比较文学理论与方法》</w:t>
      </w:r>
      <w:r>
        <w:rPr>
          <w:rFonts w:hint="eastAsia" w:cs="Times New Roman"/>
          <w:sz w:val="30"/>
          <w:szCs w:val="30"/>
          <w:lang w:val="en-US" w:eastAsia="zh-CN"/>
        </w:rPr>
        <w:t>（1学分）</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学科基础课总学分不少于</w:t>
      </w:r>
      <w:r>
        <w:rPr>
          <w:rFonts w:hint="eastAsia" w:cs="Times New Roman"/>
          <w:sz w:val="30"/>
          <w:szCs w:val="30"/>
          <w:lang w:val="en-US" w:eastAsia="zh-CN"/>
        </w:rPr>
        <w:t>4</w:t>
      </w:r>
      <w:r>
        <w:rPr>
          <w:rFonts w:hint="eastAsia" w:ascii="Times New Roman" w:hAnsi="Times New Roman" w:eastAsia="仿宋_GB2312" w:cs="Times New Roman"/>
          <w:sz w:val="30"/>
          <w:szCs w:val="30"/>
          <w:lang w:val="en-US" w:eastAsia="zh-CN"/>
        </w:rPr>
        <w:t>学分。</w:t>
      </w:r>
      <w:r>
        <w:rPr>
          <w:rFonts w:hint="eastAsia" w:cs="Times New Roman"/>
          <w:sz w:val="30"/>
          <w:szCs w:val="30"/>
          <w:lang w:val="en-US" w:eastAsia="zh-CN"/>
        </w:rPr>
        <w:t xml:space="preserve">   </w:t>
      </w:r>
    </w:p>
    <w:p w14:paraId="7442899C">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3.方向必修课</w:t>
      </w:r>
    </w:p>
    <w:p w14:paraId="64CCDC66">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学科设置《20世纪西方文学理论》</w:t>
      </w:r>
      <w:r>
        <w:rPr>
          <w:rFonts w:hint="eastAsia" w:cs="Times New Roman"/>
          <w:sz w:val="30"/>
          <w:szCs w:val="30"/>
          <w:lang w:val="en-US" w:eastAsia="zh-CN"/>
        </w:rPr>
        <w:t>（1学分）、</w:t>
      </w:r>
      <w:r>
        <w:rPr>
          <w:rFonts w:hint="eastAsia" w:ascii="Times New Roman" w:hAnsi="Times New Roman" w:eastAsia="仿宋_GB2312" w:cs="Times New Roman"/>
          <w:sz w:val="30"/>
          <w:szCs w:val="30"/>
          <w:lang w:val="en-US" w:eastAsia="zh-CN"/>
        </w:rPr>
        <w:t>《中国近代文学与文论》</w:t>
      </w:r>
      <w:r>
        <w:rPr>
          <w:rFonts w:hint="eastAsia" w:cs="Times New Roman"/>
          <w:sz w:val="30"/>
          <w:szCs w:val="30"/>
          <w:lang w:val="en-US" w:eastAsia="zh-CN"/>
        </w:rPr>
        <w:t>（1学分）、</w:t>
      </w:r>
      <w:r>
        <w:rPr>
          <w:rFonts w:hint="eastAsia" w:ascii="Times New Roman" w:hAnsi="Times New Roman" w:eastAsia="仿宋_GB2312" w:cs="Times New Roman"/>
          <w:sz w:val="30"/>
          <w:szCs w:val="30"/>
          <w:lang w:val="en-US" w:eastAsia="zh-CN"/>
        </w:rPr>
        <w:t>《美国族裔作家研究》</w:t>
      </w:r>
      <w:r>
        <w:rPr>
          <w:rFonts w:hint="eastAsia" w:cs="Times New Roman"/>
          <w:sz w:val="30"/>
          <w:szCs w:val="30"/>
          <w:lang w:val="en-US" w:eastAsia="zh-CN"/>
        </w:rPr>
        <w:t>（1学分）</w:t>
      </w:r>
      <w:r>
        <w:rPr>
          <w:rFonts w:hint="eastAsia" w:ascii="Times New Roman" w:hAnsi="Times New Roman" w:eastAsia="仿宋_GB2312" w:cs="Times New Roman"/>
          <w:sz w:val="30"/>
          <w:szCs w:val="30"/>
          <w:lang w:val="en-US" w:eastAsia="zh-CN"/>
        </w:rPr>
        <w:t>3门方向必修课</w:t>
      </w:r>
      <w:r>
        <w:rPr>
          <w:rFonts w:hint="eastAsia" w:cs="Times New Roman"/>
          <w:sz w:val="30"/>
          <w:szCs w:val="30"/>
          <w:lang w:val="en-US" w:eastAsia="zh-CN"/>
        </w:rPr>
        <w:t>。</w:t>
      </w:r>
      <w:r>
        <w:rPr>
          <w:rFonts w:hint="eastAsia" w:ascii="Times New Roman" w:hAnsi="Times New Roman" w:eastAsia="仿宋_GB2312" w:cs="Times New Roman"/>
          <w:sz w:val="30"/>
          <w:szCs w:val="30"/>
          <w:lang w:val="en-US" w:eastAsia="zh-CN"/>
        </w:rPr>
        <w:t>根据博士生研究方向，至少选2门</w:t>
      </w:r>
      <w:r>
        <w:rPr>
          <w:rFonts w:hint="eastAsia" w:cs="Times New Roman"/>
          <w:sz w:val="30"/>
          <w:szCs w:val="30"/>
          <w:lang w:val="en-US" w:eastAsia="zh-CN"/>
        </w:rPr>
        <w:t>方向必修课</w:t>
      </w:r>
      <w:r>
        <w:rPr>
          <w:rFonts w:hint="eastAsia" w:ascii="Times New Roman" w:hAnsi="Times New Roman" w:eastAsia="仿宋_GB2312" w:cs="Times New Roman"/>
          <w:sz w:val="30"/>
          <w:szCs w:val="30"/>
          <w:lang w:val="en-US" w:eastAsia="zh-CN"/>
        </w:rPr>
        <w:t>，</w:t>
      </w:r>
      <w:r>
        <w:rPr>
          <w:rFonts w:hint="eastAsia" w:cs="Times New Roman"/>
          <w:sz w:val="30"/>
          <w:szCs w:val="30"/>
          <w:lang w:val="en-US" w:eastAsia="zh-CN"/>
        </w:rPr>
        <w:t>方向必修课</w:t>
      </w:r>
      <w:r>
        <w:rPr>
          <w:rFonts w:hint="eastAsia" w:ascii="Times New Roman" w:hAnsi="Times New Roman" w:eastAsia="仿宋_GB2312" w:cs="Times New Roman"/>
          <w:sz w:val="30"/>
          <w:szCs w:val="30"/>
          <w:lang w:val="en-US" w:eastAsia="zh-CN"/>
        </w:rPr>
        <w:t>总学分不少于</w:t>
      </w:r>
      <w:r>
        <w:rPr>
          <w:rFonts w:hint="eastAsia" w:cs="Times New Roman"/>
          <w:sz w:val="30"/>
          <w:szCs w:val="30"/>
          <w:lang w:val="en-US" w:eastAsia="zh-CN"/>
        </w:rPr>
        <w:t>2</w:t>
      </w:r>
      <w:r>
        <w:rPr>
          <w:rFonts w:hint="eastAsia" w:ascii="Times New Roman" w:hAnsi="Times New Roman" w:eastAsia="仿宋_GB2312" w:cs="Times New Roman"/>
          <w:sz w:val="30"/>
          <w:szCs w:val="30"/>
          <w:lang w:val="en-US" w:eastAsia="zh-CN"/>
        </w:rPr>
        <w:t>学分。</w:t>
      </w:r>
    </w:p>
    <w:p w14:paraId="2938A1F5">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4.选修课程</w:t>
      </w:r>
    </w:p>
    <w:p w14:paraId="572620C8">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选修课程</w:t>
      </w:r>
      <w:r>
        <w:rPr>
          <w:rFonts w:hint="eastAsia" w:cs="Times New Roman"/>
          <w:sz w:val="30"/>
          <w:szCs w:val="30"/>
          <w:lang w:val="en-US" w:eastAsia="zh-CN"/>
        </w:rPr>
        <w:t>共开设4门课程，</w:t>
      </w:r>
      <w:r>
        <w:rPr>
          <w:rFonts w:hint="eastAsia" w:ascii="Times New Roman" w:hAnsi="Times New Roman" w:eastAsia="仿宋_GB2312" w:cs="Times New Roman"/>
          <w:sz w:val="30"/>
          <w:szCs w:val="30"/>
          <w:lang w:val="en-US" w:eastAsia="zh-CN"/>
        </w:rPr>
        <w:t>每门课程</w:t>
      </w:r>
      <w:r>
        <w:rPr>
          <w:rFonts w:hint="eastAsia" w:cs="Times New Roman"/>
          <w:sz w:val="30"/>
          <w:szCs w:val="30"/>
          <w:lang w:val="en-US" w:eastAsia="zh-CN"/>
        </w:rPr>
        <w:t>1</w:t>
      </w:r>
      <w:r>
        <w:rPr>
          <w:rFonts w:hint="eastAsia" w:ascii="Times New Roman" w:hAnsi="Times New Roman" w:eastAsia="仿宋_GB2312" w:cs="Times New Roman"/>
          <w:sz w:val="30"/>
          <w:szCs w:val="30"/>
          <w:lang w:val="en-US" w:eastAsia="zh-CN"/>
        </w:rPr>
        <w:t>学分</w:t>
      </w:r>
      <w:r>
        <w:rPr>
          <w:rFonts w:hint="eastAsia" w:cs="Times New Roman"/>
          <w:sz w:val="30"/>
          <w:szCs w:val="30"/>
          <w:lang w:val="en-US" w:eastAsia="zh-CN"/>
        </w:rPr>
        <w:t>。根据博士生研究方向，至少选2门选修课，</w:t>
      </w:r>
      <w:r>
        <w:rPr>
          <w:rFonts w:hint="eastAsia" w:ascii="Times New Roman" w:hAnsi="Times New Roman" w:eastAsia="仿宋_GB2312" w:cs="Times New Roman"/>
          <w:sz w:val="30"/>
          <w:szCs w:val="30"/>
          <w:lang w:val="en-US" w:eastAsia="zh-CN"/>
        </w:rPr>
        <w:t>选修课程总学分不少于</w:t>
      </w:r>
      <w:r>
        <w:rPr>
          <w:rFonts w:hint="eastAsia" w:cs="Times New Roman"/>
          <w:sz w:val="30"/>
          <w:szCs w:val="30"/>
          <w:lang w:val="en-US" w:eastAsia="zh-CN"/>
        </w:rPr>
        <w:t>2</w:t>
      </w:r>
      <w:r>
        <w:rPr>
          <w:rFonts w:hint="eastAsia" w:ascii="Times New Roman" w:hAnsi="Times New Roman" w:eastAsia="仿宋_GB2312" w:cs="Times New Roman"/>
          <w:sz w:val="30"/>
          <w:szCs w:val="30"/>
          <w:lang w:val="en-US" w:eastAsia="zh-CN"/>
        </w:rPr>
        <w:t>学分。</w:t>
      </w:r>
    </w:p>
    <w:p w14:paraId="7F863C57">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5.补修课程</w:t>
      </w:r>
    </w:p>
    <w:p w14:paraId="3EA23BB7">
      <w:pPr>
        <w:spacing w:line="540" w:lineRule="exact"/>
        <w:ind w:right="-19" w:rightChars="-6" w:firstLine="600" w:firstLineChars="200"/>
        <w:rPr>
          <w:rFonts w:hint="eastAsia" w:ascii="楷体" w:hAnsi="楷体" w:eastAsia="楷体" w:cs="黑体"/>
          <w:color w:val="FF0000"/>
          <w:sz w:val="21"/>
          <w:lang w:eastAsia="zh-CN"/>
        </w:rPr>
      </w:pPr>
      <w:r>
        <w:rPr>
          <w:rFonts w:hint="eastAsia" w:ascii="Times New Roman" w:hAnsi="Times New Roman" w:eastAsia="仿宋_GB2312" w:cs="Times New Roman"/>
          <w:sz w:val="30"/>
          <w:szCs w:val="30"/>
          <w:lang w:val="en-US" w:eastAsia="zh-CN"/>
        </w:rPr>
        <w:t>跨学科、专业考入的博士生，须补修所攻读学科的主干课程。博士生在导师指导下确定2—3门本学科的硕士生主干课程作为补修课程，没有补修成绩或补修课程考试不合格者不得进入论文答辩。补修课程成绩记录在成绩单上，不计入毕业的学分要求内。</w:t>
      </w:r>
    </w:p>
    <w:p w14:paraId="62D5A8B7">
      <w:pPr>
        <w:spacing w:line="540" w:lineRule="exact"/>
        <w:ind w:left="640" w:right="-19" w:rightChars="-6"/>
        <w:rPr>
          <w:rFonts w:hint="eastAsia" w:ascii="黑体" w:hAnsi="黑体" w:eastAsia="黑体"/>
          <w:szCs w:val="32"/>
        </w:rPr>
      </w:pPr>
      <w:r>
        <w:rPr>
          <w:rFonts w:hint="eastAsia" w:ascii="黑体" w:hAnsi="黑体" w:eastAsia="黑体"/>
          <w:szCs w:val="32"/>
        </w:rPr>
        <w:t>八、课程设计要求</w:t>
      </w:r>
    </w:p>
    <w:p w14:paraId="7A527244">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1.课程内容应体现前沿性和前瞻性，兼顾学科交叉与融合，注重引进先进课程资源和师资，逐步建设高水平课程。</w:t>
      </w:r>
    </w:p>
    <w:p w14:paraId="650F4952">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2.交叉学科的课程设置应体现学科交叉的培养目标和要求，构建复合型人才培养的课程体系。</w:t>
      </w:r>
    </w:p>
    <w:p w14:paraId="3219D391">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遵循教学的教育性规律，结合课程性质、教学内容和特点，开展“课程思政”教学设计，提炼课程中蕴含的思想、文化和价值等育人因素，有机融入课程教学，充分发挥学科教学中的德育渗透功能，并与思想政治理论课形成协同育人效应。课程思政要落实到课程目标设计、教学大纲制定、教材选用、教案课件各方面，贯穿课程教学的全过程。</w:t>
      </w:r>
    </w:p>
    <w:p w14:paraId="261A6591">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4.课程体系上要强化硕博贯通培养，要以提高博士生学术创新能力为核心，统筹设计、整体优化、科学衔接硕士和博士不同层次课程体系、教学内容与培养过程各环节，避免重复或简单的延伸。</w:t>
      </w:r>
    </w:p>
    <w:p w14:paraId="09314329">
      <w:pPr>
        <w:spacing w:line="540" w:lineRule="exact"/>
        <w:ind w:right="-19" w:rightChars="-6" w:firstLine="640" w:firstLineChars="200"/>
        <w:rPr>
          <w:rFonts w:hint="eastAsia" w:ascii="黑体" w:hAnsi="黑体" w:eastAsia="黑体"/>
          <w:szCs w:val="32"/>
        </w:rPr>
      </w:pPr>
      <w:r>
        <w:rPr>
          <w:rFonts w:hint="eastAsia" w:ascii="黑体" w:hAnsi="黑体" w:eastAsia="黑体"/>
          <w:szCs w:val="32"/>
        </w:rPr>
        <w:t>九、必修环节</w:t>
      </w:r>
    </w:p>
    <w:p w14:paraId="1BCC8EE3">
      <w:pPr>
        <w:spacing w:line="540" w:lineRule="atLeast"/>
        <w:ind w:right="-19" w:rightChars="-6" w:firstLine="600" w:firstLineChars="200"/>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博士生的必修环节主要包括学术交流、文献研读、开题报告、预答辩、中期考核等。</w:t>
      </w:r>
    </w:p>
    <w:p w14:paraId="59B55627">
      <w:pPr>
        <w:overflowPunct w:val="0"/>
        <w:adjustRightInd w:val="0"/>
        <w:snapToGrid w:val="0"/>
        <w:spacing w:line="540" w:lineRule="exact"/>
        <w:ind w:firstLine="643" w:firstLineChars="200"/>
        <w:rPr>
          <w:rFonts w:ascii="仿宋_GB2312" w:hAnsi="仿宋"/>
          <w:b/>
          <w:bCs/>
          <w:color w:val="0D0D0D" w:themeColor="text1" w:themeTint="F2"/>
          <w:szCs w:val="32"/>
          <w14:textFill>
            <w14:solidFill>
              <w14:schemeClr w14:val="tx1">
                <w14:lumMod w14:val="95000"/>
                <w14:lumOff w14:val="5000"/>
              </w14:schemeClr>
            </w14:solidFill>
          </w14:textFill>
        </w:rPr>
      </w:pPr>
      <w:r>
        <w:rPr>
          <w:rFonts w:hint="eastAsia" w:ascii="仿宋_GB2312" w:hAnsi="仿宋"/>
          <w:b/>
          <w:bCs/>
          <w:color w:val="0D0D0D" w:themeColor="text1" w:themeTint="F2"/>
          <w:szCs w:val="32"/>
          <w14:textFill>
            <w14:solidFill>
              <w14:schemeClr w14:val="tx1">
                <w14:lumMod w14:val="95000"/>
                <w14:lumOff w14:val="5000"/>
              </w14:schemeClr>
            </w14:solidFill>
          </w14:textFill>
        </w:rPr>
        <w:t>1.学术</w:t>
      </w:r>
      <w:r>
        <w:rPr>
          <w:rFonts w:hint="eastAsia" w:ascii="仿宋_GB2312" w:hAnsi="仿宋"/>
          <w:b/>
          <w:bCs/>
          <w:color w:val="0D0D0D" w:themeColor="text1" w:themeTint="F2"/>
          <w:szCs w:val="32"/>
          <w:lang w:val="en-US" w:eastAsia="zh-CN"/>
          <w14:textFill>
            <w14:solidFill>
              <w14:schemeClr w14:val="tx1">
                <w14:lumMod w14:val="95000"/>
                <w14:lumOff w14:val="5000"/>
              </w14:schemeClr>
            </w14:solidFill>
          </w14:textFill>
        </w:rPr>
        <w:t>交流</w:t>
      </w:r>
      <w:r>
        <w:rPr>
          <w:rFonts w:hint="eastAsia" w:ascii="仿宋_GB2312" w:hAnsi="仿宋"/>
          <w:b/>
          <w:bCs/>
          <w:color w:val="0D0D0D" w:themeColor="text1" w:themeTint="F2"/>
          <w:szCs w:val="32"/>
          <w14:textFill>
            <w14:solidFill>
              <w14:schemeClr w14:val="tx1">
                <w14:lumMod w14:val="95000"/>
                <w14:lumOff w14:val="5000"/>
              </w14:schemeClr>
            </w14:solidFill>
          </w14:textFill>
        </w:rPr>
        <w:t>（必修，1学分）</w:t>
      </w:r>
    </w:p>
    <w:p w14:paraId="73C1F0E9">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应积极参加学校和所在培养单位举办的各种学术讲座、学术报告等，具体要求为听取20场以上讲座，在院级以上公开做2次以上公开学术报告，并填写《闽南师范大学研究生学术活动登记表》，由各培养单位根据学校相关规定给予相应的成绩等级；</w:t>
      </w:r>
    </w:p>
    <w:p w14:paraId="281013A7">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在攻读博士学位期间必须参加国内外学术会议并做发言，具体要求为参加 1次（含）以上全国性会议、论坛或2次（含）以上省级学术会议、论坛等。</w:t>
      </w:r>
    </w:p>
    <w:p w14:paraId="63A64EC0">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毕业资格审核时，相关材料须由学生本人提交给学院研究生秘书，组织相关人员进行审核、记载成绩并存档备查。</w:t>
      </w:r>
    </w:p>
    <w:p w14:paraId="06D6EDEB">
      <w:pPr>
        <w:overflowPunct w:val="0"/>
        <w:adjustRightInd w:val="0"/>
        <w:snapToGrid w:val="0"/>
        <w:spacing w:line="540" w:lineRule="exact"/>
        <w:ind w:firstLine="643" w:firstLineChars="200"/>
        <w:rPr>
          <w:rFonts w:ascii="仿宋_GB2312" w:hAnsi="仿宋"/>
          <w:b/>
          <w:bCs/>
          <w:color w:val="0D0D0D" w:themeColor="text1" w:themeTint="F2"/>
          <w:szCs w:val="32"/>
          <w14:textFill>
            <w14:solidFill>
              <w14:schemeClr w14:val="tx1">
                <w14:lumMod w14:val="95000"/>
                <w14:lumOff w14:val="5000"/>
              </w14:schemeClr>
            </w14:solidFill>
          </w14:textFill>
        </w:rPr>
      </w:pPr>
      <w:r>
        <w:rPr>
          <w:rFonts w:hint="eastAsia" w:ascii="仿宋_GB2312" w:hAnsi="仿宋"/>
          <w:b/>
          <w:bCs/>
          <w:color w:val="0D0D0D" w:themeColor="text1" w:themeTint="F2"/>
          <w:szCs w:val="32"/>
          <w14:textFill>
            <w14:solidFill>
              <w14:schemeClr w14:val="tx1">
                <w14:lumMod w14:val="95000"/>
                <w14:lumOff w14:val="5000"/>
              </w14:schemeClr>
            </w14:solidFill>
          </w14:textFill>
        </w:rPr>
        <w:t>2.文献研读（必修，1学分）</w:t>
      </w:r>
    </w:p>
    <w:p w14:paraId="53B22C0F">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博士生应完成本学科及导师指定的经典必读书目和重要专业学术期刊的研读，采用“导师把关、专业考核、院系审核”的考核流程，考核结果报学科建设与研究生工作处备案。</w:t>
      </w:r>
    </w:p>
    <w:p w14:paraId="1F434486">
      <w:pPr>
        <w:overflowPunct w:val="0"/>
        <w:adjustRightInd w:val="0"/>
        <w:snapToGrid w:val="0"/>
        <w:spacing w:line="540" w:lineRule="exact"/>
        <w:ind w:firstLine="643" w:firstLineChars="200"/>
        <w:rPr>
          <w:rFonts w:hint="default" w:ascii="仿宋_GB2312" w:hAnsi="仿宋"/>
          <w:b/>
          <w:bCs/>
          <w:color w:val="0D0D0D" w:themeColor="text1" w:themeTint="F2"/>
          <w:szCs w:val="32"/>
          <w:lang w:val="en-US" w:eastAsia="zh-CN"/>
          <w14:textFill>
            <w14:solidFill>
              <w14:schemeClr w14:val="tx1">
                <w14:lumMod w14:val="95000"/>
                <w14:lumOff w14:val="5000"/>
              </w14:schemeClr>
            </w14:solidFill>
          </w14:textFill>
        </w:rPr>
      </w:pPr>
      <w:r>
        <w:rPr>
          <w:rFonts w:hint="eastAsia" w:ascii="仿宋_GB2312" w:hAnsi="仿宋"/>
          <w:b/>
          <w:bCs/>
          <w:color w:val="0D0D0D" w:themeColor="text1" w:themeTint="F2"/>
          <w:szCs w:val="32"/>
          <w:lang w:val="en-US" w:eastAsia="zh-CN"/>
          <w14:textFill>
            <w14:solidFill>
              <w14:schemeClr w14:val="tx1">
                <w14:lumMod w14:val="95000"/>
                <w14:lumOff w14:val="5000"/>
              </w14:schemeClr>
            </w14:solidFill>
          </w14:textFill>
        </w:rPr>
        <w:t>3.开题报告（必修，1学分）</w:t>
      </w:r>
    </w:p>
    <w:p w14:paraId="2937D0B6">
      <w:pPr>
        <w:spacing w:line="540" w:lineRule="exact"/>
        <w:ind w:right="-19" w:rightChars="-6"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研究生开题报告是研究生培养管理过程中的重要环节，采取书面报告和公开的学位论文开题答辩会相结合的方式进行。</w:t>
      </w:r>
    </w:p>
    <w:p w14:paraId="708982F9">
      <w:pPr>
        <w:overflowPunct w:val="0"/>
        <w:adjustRightInd w:val="0"/>
        <w:snapToGrid w:val="0"/>
        <w:spacing w:line="540" w:lineRule="exact"/>
        <w:ind w:firstLine="643" w:firstLineChars="200"/>
        <w:rPr>
          <w:rFonts w:ascii="仿宋_GB2312" w:hAnsi="仿宋"/>
          <w:b/>
          <w:bCs/>
          <w:color w:val="0D0D0D" w:themeColor="text1" w:themeTint="F2"/>
          <w:szCs w:val="32"/>
          <w14:textFill>
            <w14:solidFill>
              <w14:schemeClr w14:val="tx1">
                <w14:lumMod w14:val="95000"/>
                <w14:lumOff w14:val="5000"/>
              </w14:schemeClr>
            </w14:solidFill>
          </w14:textFill>
        </w:rPr>
      </w:pPr>
      <w:r>
        <w:rPr>
          <w:rFonts w:hint="eastAsia" w:ascii="仿宋_GB2312" w:hAnsi="仿宋"/>
          <w:b/>
          <w:bCs/>
          <w:color w:val="0D0D0D" w:themeColor="text1" w:themeTint="F2"/>
          <w:szCs w:val="32"/>
          <w:lang w:val="en-US" w:eastAsia="zh-CN"/>
          <w14:textFill>
            <w14:solidFill>
              <w14:schemeClr w14:val="tx1">
                <w14:lumMod w14:val="95000"/>
                <w14:lumOff w14:val="5000"/>
              </w14:schemeClr>
            </w14:solidFill>
          </w14:textFill>
        </w:rPr>
        <w:t>4</w:t>
      </w:r>
      <w:r>
        <w:rPr>
          <w:rFonts w:hint="eastAsia" w:ascii="仿宋_GB2312" w:hAnsi="仿宋"/>
          <w:b/>
          <w:bCs/>
          <w:color w:val="0D0D0D" w:themeColor="text1" w:themeTint="F2"/>
          <w:szCs w:val="32"/>
          <w14:textFill>
            <w14:solidFill>
              <w14:schemeClr w14:val="tx1">
                <w14:lumMod w14:val="95000"/>
                <w14:lumOff w14:val="5000"/>
              </w14:schemeClr>
            </w14:solidFill>
          </w14:textFill>
        </w:rPr>
        <w:t>.中期考核</w:t>
      </w:r>
    </w:p>
    <w:p w14:paraId="4C597705">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中期考核是保证博士生培养质量的重要环节，是指以书面和口头报告的方式，综合考察研究生思想品德、课程学习、科研能力等情况，以判断其是否适宜继续攻读的阶段性考核环节。培养单位要通过中期考核及时</w:t>
      </w:r>
      <w:bookmarkStart w:id="0" w:name="_GoBack"/>
      <w:bookmarkEnd w:id="0"/>
      <w:r>
        <w:rPr>
          <w:rFonts w:hint="eastAsia" w:ascii="Times New Roman" w:hAnsi="Times New Roman" w:eastAsia="仿宋_GB2312" w:cs="Times New Roman"/>
          <w:sz w:val="30"/>
          <w:szCs w:val="30"/>
          <w:lang w:val="en-US" w:eastAsia="zh-CN"/>
        </w:rPr>
        <w:t>发现博士生培养过程中存在问题，促进研究生后续高质量培养。</w:t>
      </w:r>
    </w:p>
    <w:p w14:paraId="49DA2D2F">
      <w:pPr>
        <w:overflowPunct w:val="0"/>
        <w:adjustRightInd w:val="0"/>
        <w:snapToGrid w:val="0"/>
        <w:spacing w:line="540" w:lineRule="exact"/>
        <w:ind w:firstLine="643" w:firstLineChars="200"/>
        <w:rPr>
          <w:rFonts w:hint="eastAsia" w:ascii="仿宋_GB2312" w:hAnsi="仿宋" w:cs="Times New Roman"/>
          <w:b/>
          <w:bCs/>
          <w:color w:val="0D0D0D" w:themeColor="text1" w:themeTint="F2"/>
          <w:szCs w:val="32"/>
          <w:lang w:val="en-US" w:eastAsia="zh-CN"/>
          <w14:textFill>
            <w14:solidFill>
              <w14:schemeClr w14:val="tx1">
                <w14:lumMod w14:val="95000"/>
                <w14:lumOff w14:val="5000"/>
              </w14:schemeClr>
            </w14:solidFill>
          </w14:textFill>
        </w:rPr>
      </w:pPr>
      <w:r>
        <w:rPr>
          <w:rFonts w:hint="eastAsia" w:ascii="仿宋_GB2312" w:hAnsi="仿宋" w:cs="Times New Roman"/>
          <w:b/>
          <w:bCs/>
          <w:color w:val="0D0D0D" w:themeColor="text1" w:themeTint="F2"/>
          <w:szCs w:val="32"/>
          <w:lang w:val="en-US" w:eastAsia="zh-CN"/>
          <w14:textFill>
            <w14:solidFill>
              <w14:schemeClr w14:val="tx1">
                <w14:lumMod w14:val="95000"/>
                <w14:lumOff w14:val="5000"/>
              </w14:schemeClr>
            </w14:solidFill>
          </w14:textFill>
        </w:rPr>
        <w:t>5.预答辩（必修，1学分）</w:t>
      </w:r>
    </w:p>
    <w:p w14:paraId="025C6A85">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预答辩是博士研究生进行正式论文答辩之前检查研究生学位论文质量的重要环节， 所有博士研究生均须参加预答辩， 预答辩通过后方可进行论文送审和答辩。研究生完成培养方案所规定的所有课程和其他培养环节，修满学分，完成学位论文初稿并经导师审核同意后，方可申请进行预答辩。</w:t>
      </w:r>
    </w:p>
    <w:p w14:paraId="053157EF">
      <w:pPr>
        <w:spacing w:line="540" w:lineRule="exact"/>
        <w:ind w:right="-19" w:rightChars="-6" w:firstLine="640" w:firstLineChars="200"/>
        <w:rPr>
          <w:rFonts w:hint="eastAsia" w:ascii="黑体" w:hAnsi="黑体" w:eastAsia="黑体"/>
          <w:szCs w:val="32"/>
        </w:rPr>
      </w:pPr>
      <w:r>
        <w:rPr>
          <w:rFonts w:hint="eastAsia" w:ascii="黑体" w:hAnsi="黑体" w:eastAsia="黑体"/>
          <w:szCs w:val="32"/>
        </w:rPr>
        <w:t>十、毕业要求和标准</w:t>
      </w:r>
    </w:p>
    <w:p w14:paraId="354F5E5F">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博士生在弹性学制规定的最长学习年限内（</w:t>
      </w:r>
      <w:r>
        <w:rPr>
          <w:rFonts w:hint="eastAsia" w:cs="Times New Roman"/>
          <w:sz w:val="30"/>
          <w:szCs w:val="30"/>
          <w:lang w:val="en-US" w:eastAsia="zh-CN"/>
        </w:rPr>
        <w:t>7</w:t>
      </w:r>
      <w:r>
        <w:rPr>
          <w:rFonts w:hint="eastAsia" w:ascii="Times New Roman" w:hAnsi="Times New Roman" w:eastAsia="仿宋_GB2312" w:cs="Times New Roman"/>
          <w:sz w:val="30"/>
          <w:szCs w:val="30"/>
          <w:lang w:val="en-US" w:eastAsia="zh-CN"/>
        </w:rPr>
        <w:t>年）完成培养方案规定的全部课程学习和其他教学环节，考试、考查成绩达到学校毕业要求，完成学位论文并通过答辩，可申请毕业并获取相应毕业证书。</w:t>
      </w:r>
    </w:p>
    <w:p w14:paraId="662D8903">
      <w:pPr>
        <w:spacing w:line="540" w:lineRule="exact"/>
        <w:ind w:right="-19" w:rightChars="-6" w:firstLine="640" w:firstLineChars="200"/>
        <w:rPr>
          <w:rFonts w:hint="eastAsia" w:ascii="黑体" w:hAnsi="黑体" w:eastAsia="黑体"/>
          <w:szCs w:val="32"/>
        </w:rPr>
      </w:pPr>
      <w:r>
        <w:rPr>
          <w:rFonts w:hint="eastAsia" w:ascii="黑体" w:hAnsi="黑体" w:eastAsia="黑体"/>
          <w:szCs w:val="32"/>
        </w:rPr>
        <w:t>十一、学位论文</w:t>
      </w:r>
    </w:p>
    <w:p w14:paraId="290A8ABD">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1.选题与综述要求</w:t>
      </w:r>
    </w:p>
    <w:p w14:paraId="06434B9E">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学位论文应是对本学科专业的某一方面或某一重要问题的专题研究。要求在广泛调查研究本学科专业事实、阅读古今中外相关文献资料、掌握所选论题已有研究成果和前沿研究动态的基础上，在导师指导下，提出学位论文选题和研究计划。选题应体现较为宽广的学术视野，对本学专业的基础研究或实际应用具有重要的理论意义、现实启示和学术价值。</w:t>
      </w:r>
    </w:p>
    <w:p w14:paraId="1F939995">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学位论文的综述应在充分调查和阅读相关领域重要文献资料的基础上规范撰写。内容应包括与本课题相关的国内外研究成果述评，本论文所要解决的问题，论文运用的主要理论和方法、基本思路和论文结构，以及本研究对学术问题的解决，对本学科专业的发展的理论意义和现实意义等。</w:t>
      </w:r>
    </w:p>
    <w:p w14:paraId="02BEB5EF">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2.规范性要求</w:t>
      </w:r>
    </w:p>
    <w:p w14:paraId="41020F0A">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在导师指导下独立完成，做到文献资料、研究方法、学术观点的统一，论点鲜明，思路清晰，内容完整，结果合理，文字流畅，达到较高的学术水准。博士学位论文应充分尊重前人的研究成果，严格遵守学术界公认的学术伦理道德以及本学科共同遵守的学术规范。</w:t>
      </w:r>
    </w:p>
    <w:p w14:paraId="3887A990">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3.成果创新性要求</w:t>
      </w:r>
    </w:p>
    <w:p w14:paraId="78820E28">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以独立思考和自主研究为基础，应能体现作者掌握宽广的基础理论和深入的学科专业、文献知识，体现作者的思维能力、研究能力和创新能力。论文或能发掘出本学科所属各个领域内的新的资料，作出新的阐释，具有填补重要的学术空白的意义；或运用新的理论和方法，在具体问题的研究中取得重要成果，较前人有所推进、有所深化、有所提升。</w:t>
      </w:r>
    </w:p>
    <w:p w14:paraId="133D5924">
      <w:pPr>
        <w:spacing w:line="540" w:lineRule="exact"/>
        <w:ind w:right="-19" w:rightChars="-6" w:firstLine="640" w:firstLineChars="200"/>
        <w:rPr>
          <w:rFonts w:hint="eastAsia" w:ascii="Times New Roman" w:hAnsi="Times New Roman" w:eastAsia="仿宋_GB2312" w:cs="Times New Roman"/>
          <w:sz w:val="30"/>
          <w:szCs w:val="30"/>
          <w:lang w:val="en-US" w:eastAsia="zh-CN"/>
        </w:rPr>
      </w:pPr>
      <w:r>
        <w:rPr>
          <w:rFonts w:hint="eastAsia" w:ascii="黑体" w:hAnsi="黑体" w:eastAsia="黑体"/>
          <w:szCs w:val="32"/>
        </w:rPr>
        <w:t>十二、其他要求</w:t>
      </w:r>
    </w:p>
    <w:p w14:paraId="15438531">
      <w:pPr>
        <w:spacing w:line="540" w:lineRule="atLeast"/>
        <w:ind w:right="-19" w:rightChars="-6" w:firstLine="420" w:firstLineChars="200"/>
        <w:rPr>
          <w:rFonts w:hint="eastAsia" w:ascii="Times New Roman" w:hAnsi="Times New Roman" w:eastAsia="仿宋_GB2312" w:cs="Times New Roman"/>
          <w:sz w:val="30"/>
          <w:szCs w:val="30"/>
          <w:lang w:val="en-US" w:eastAsia="zh-CN"/>
        </w:rPr>
      </w:pPr>
      <w:r>
        <w:rPr>
          <w:rFonts w:hint="eastAsia" w:ascii="楷体" w:hAnsi="楷体" w:eastAsia="楷体" w:cs="黑体"/>
          <w:color w:val="FF0000"/>
          <w:sz w:val="21"/>
          <w:lang w:eastAsia="zh-CN"/>
        </w:rPr>
        <w:t xml:space="preserve"> </w:t>
      </w:r>
      <w:r>
        <w:rPr>
          <w:rFonts w:hint="eastAsia" w:ascii="楷体" w:hAnsi="楷体" w:eastAsia="楷体" w:cs="黑体"/>
          <w:color w:val="FF0000"/>
          <w:sz w:val="21"/>
          <w:lang w:val="en-US" w:eastAsia="zh-CN"/>
        </w:rPr>
        <w:t xml:space="preserve"> </w:t>
      </w:r>
      <w:r>
        <w:rPr>
          <w:rFonts w:hint="eastAsia" w:ascii="Times New Roman" w:hAnsi="Times New Roman" w:eastAsia="仿宋_GB2312" w:cs="Times New Roman"/>
          <w:sz w:val="30"/>
          <w:szCs w:val="30"/>
          <w:lang w:val="en-US" w:eastAsia="zh-CN"/>
        </w:rPr>
        <w:t>1.本博士培养方案根据《闽南师范大学全日制博士研究生培养方案修订指导性意见（试行）》（闽南师大〔2021〕124号），结合博士研究生教育实际，修订而成，</w:t>
      </w:r>
      <w:r>
        <w:rPr>
          <w:rFonts w:hint="eastAsia" w:cs="Times New Roman"/>
          <w:sz w:val="30"/>
          <w:szCs w:val="30"/>
          <w:lang w:val="en-US" w:eastAsia="zh-CN"/>
        </w:rPr>
        <w:t>经文学院教学指导委员会审议通过后执行。</w:t>
      </w:r>
    </w:p>
    <w:p w14:paraId="07F719B8">
      <w:pPr>
        <w:ind w:right="-19" w:rightChars="-6" w:firstLine="600" w:firstLineChars="200"/>
        <w:rPr>
          <w:rFonts w:eastAsia="楷体"/>
          <w:color w:val="FF0000"/>
          <w:sz w:val="21"/>
        </w:rPr>
        <w:sectPr>
          <w:headerReference r:id="rId5" w:type="first"/>
          <w:headerReference r:id="rId3" w:type="default"/>
          <w:footerReference r:id="rId6" w:type="default"/>
          <w:headerReference r:id="rId4" w:type="even"/>
          <w:footerReference r:id="rId7" w:type="even"/>
          <w:pgSz w:w="11906" w:h="16838"/>
          <w:pgMar w:top="1701" w:right="1644" w:bottom="1701" w:left="1644" w:header="851" w:footer="992" w:gutter="0"/>
          <w:cols w:space="425" w:num="1"/>
          <w:docGrid w:type="lines" w:linePitch="312" w:charSpace="0"/>
        </w:sectPr>
      </w:pPr>
      <w:r>
        <w:rPr>
          <w:rFonts w:hint="eastAsia" w:ascii="Times New Roman" w:hAnsi="Times New Roman" w:eastAsia="仿宋_GB2312" w:cs="Times New Roman"/>
          <w:sz w:val="30"/>
          <w:szCs w:val="30"/>
          <w:lang w:val="en-US" w:eastAsia="zh-CN"/>
        </w:rPr>
        <w:t xml:space="preserve">2. </w:t>
      </w:r>
      <w:r>
        <w:rPr>
          <w:rFonts w:hint="eastAsia" w:cs="Times New Roman"/>
          <w:sz w:val="30"/>
          <w:szCs w:val="30"/>
          <w:lang w:val="en-US" w:eastAsia="zh-CN"/>
        </w:rPr>
        <w:t>本博士培养方案</w:t>
      </w:r>
      <w:r>
        <w:rPr>
          <w:rFonts w:hint="eastAsia" w:ascii="Times New Roman" w:hAnsi="Times New Roman" w:eastAsia="仿宋_GB2312" w:cs="Times New Roman"/>
          <w:sz w:val="30"/>
          <w:szCs w:val="30"/>
          <w:lang w:val="en-US" w:eastAsia="zh-CN"/>
        </w:rPr>
        <w:t>适用于202</w:t>
      </w:r>
      <w:r>
        <w:rPr>
          <w:rFonts w:hint="eastAsia" w:cs="Times New Roman"/>
          <w:sz w:val="30"/>
          <w:szCs w:val="30"/>
          <w:lang w:val="en-US" w:eastAsia="zh-CN"/>
        </w:rPr>
        <w:t>4</w:t>
      </w:r>
      <w:r>
        <w:rPr>
          <w:rFonts w:hint="eastAsia" w:ascii="Times New Roman" w:hAnsi="Times New Roman" w:eastAsia="仿宋_GB2312" w:cs="Times New Roman"/>
          <w:sz w:val="30"/>
          <w:szCs w:val="30"/>
          <w:lang w:val="en-US" w:eastAsia="zh-CN"/>
        </w:rPr>
        <w:t>级</w:t>
      </w:r>
      <w:r>
        <w:rPr>
          <w:rFonts w:hint="eastAsia" w:cs="Times New Roman"/>
          <w:sz w:val="30"/>
          <w:szCs w:val="30"/>
          <w:lang w:val="en-US" w:eastAsia="zh-CN"/>
        </w:rPr>
        <w:t>比较文学与世界文学专业</w:t>
      </w:r>
      <w:r>
        <w:rPr>
          <w:rFonts w:hint="eastAsia" w:ascii="Times New Roman" w:hAnsi="Times New Roman" w:eastAsia="仿宋_GB2312" w:cs="Times New Roman"/>
          <w:sz w:val="30"/>
          <w:szCs w:val="30"/>
          <w:lang w:val="en-US" w:eastAsia="zh-CN"/>
        </w:rPr>
        <w:t>博士</w:t>
      </w:r>
      <w:r>
        <w:rPr>
          <w:rFonts w:hint="eastAsia" w:cs="Times New Roman"/>
          <w:sz w:val="30"/>
          <w:szCs w:val="30"/>
          <w:lang w:val="en-US" w:eastAsia="zh-CN"/>
        </w:rPr>
        <w:t>研究</w:t>
      </w:r>
      <w:r>
        <w:rPr>
          <w:rFonts w:hint="eastAsia" w:ascii="Times New Roman" w:hAnsi="Times New Roman" w:eastAsia="仿宋_GB2312" w:cs="Times New Roman"/>
          <w:sz w:val="30"/>
          <w:szCs w:val="30"/>
          <w:lang w:val="en-US" w:eastAsia="zh-CN"/>
        </w:rPr>
        <w:t>生</w:t>
      </w:r>
      <w:r>
        <w:rPr>
          <w:rFonts w:hint="eastAsia" w:cs="Times New Roman"/>
          <w:sz w:val="30"/>
          <w:szCs w:val="30"/>
          <w:lang w:val="en-US" w:eastAsia="zh-CN"/>
        </w:rPr>
        <w:t>。</w:t>
      </w:r>
    </w:p>
    <w:p w14:paraId="09DD67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2273">
    <w:pPr>
      <w:pStyle w:val="2"/>
      <w:framePr w:wrap="around" w:vAnchor="text" w:hAnchor="page" w:x="8971" w:yAlign="center"/>
      <w:rPr>
        <w:rStyle w:val="6"/>
        <w:rFonts w:ascii="宋体" w:hAnsi="宋体" w:eastAsia="宋体"/>
        <w:sz w:val="28"/>
        <w:szCs w:val="28"/>
      </w:rPr>
    </w:pPr>
    <w:r>
      <w:rPr>
        <w:rStyle w:val="6"/>
        <w:rFonts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w:t>
    </w:r>
    <w:r>
      <w:rPr>
        <w:rStyle w:val="6"/>
        <w:rFonts w:ascii="宋体" w:hAnsi="宋体" w:eastAsia="宋体"/>
        <w:sz w:val="28"/>
        <w:szCs w:val="28"/>
      </w:rPr>
      <w:fldChar w:fldCharType="end"/>
    </w:r>
    <w:r>
      <w:rPr>
        <w:rStyle w:val="6"/>
        <w:rFonts w:ascii="宋体" w:hAnsi="宋体" w:eastAsia="宋体"/>
        <w:sz w:val="28"/>
        <w:szCs w:val="28"/>
      </w:rPr>
      <w:t xml:space="preserve"> —</w:t>
    </w:r>
  </w:p>
  <w:p w14:paraId="4B67DA28">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C275">
    <w:pPr>
      <w:pStyle w:val="2"/>
      <w:framePr w:wrap="around" w:vAnchor="text" w:hAnchor="page" w:x="1861" w:y="-68"/>
      <w:rPr>
        <w:rStyle w:val="6"/>
        <w:rFonts w:ascii="宋体" w:hAns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18</w:t>
    </w:r>
    <w:r>
      <w:rPr>
        <w:rStyle w:val="6"/>
        <w:rFonts w:ascii="宋体" w:hAnsi="宋体"/>
        <w:sz w:val="28"/>
        <w:szCs w:val="28"/>
      </w:rPr>
      <w:fldChar w:fldCharType="end"/>
    </w:r>
    <w:r>
      <w:rPr>
        <w:rStyle w:val="6"/>
        <w:rFonts w:ascii="宋体" w:hAnsi="宋体"/>
        <w:sz w:val="28"/>
        <w:szCs w:val="28"/>
      </w:rPr>
      <w:t xml:space="preserve"> —</w:t>
    </w:r>
  </w:p>
  <w:p w14:paraId="560BAD94">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BBC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05B1">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4E4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DkxYzUwMWIwNDQzOWUxNTU1MTVjYTQ2MjA4MzAifQ=="/>
  </w:docVars>
  <w:rsids>
    <w:rsidRoot w:val="174D6141"/>
    <w:rsid w:val="0348028B"/>
    <w:rsid w:val="04EC2094"/>
    <w:rsid w:val="04EC436B"/>
    <w:rsid w:val="0D8E5A3B"/>
    <w:rsid w:val="0E63671B"/>
    <w:rsid w:val="14CE75AC"/>
    <w:rsid w:val="16F265F8"/>
    <w:rsid w:val="174D6141"/>
    <w:rsid w:val="1CB9729E"/>
    <w:rsid w:val="1DAA713E"/>
    <w:rsid w:val="1E540EAA"/>
    <w:rsid w:val="203C4806"/>
    <w:rsid w:val="25901FDD"/>
    <w:rsid w:val="28BF29F8"/>
    <w:rsid w:val="29946A38"/>
    <w:rsid w:val="29DB163C"/>
    <w:rsid w:val="2A97059E"/>
    <w:rsid w:val="2C3C6B42"/>
    <w:rsid w:val="2CD31F04"/>
    <w:rsid w:val="2CD51F86"/>
    <w:rsid w:val="2EF80D14"/>
    <w:rsid w:val="34674D82"/>
    <w:rsid w:val="3860725C"/>
    <w:rsid w:val="40477F08"/>
    <w:rsid w:val="4A067F44"/>
    <w:rsid w:val="4CD67644"/>
    <w:rsid w:val="4EF87280"/>
    <w:rsid w:val="4F7800DE"/>
    <w:rsid w:val="5A603640"/>
    <w:rsid w:val="5C112EF4"/>
    <w:rsid w:val="6395235F"/>
    <w:rsid w:val="651E280D"/>
    <w:rsid w:val="660435C8"/>
    <w:rsid w:val="6C705DA6"/>
    <w:rsid w:val="734343DB"/>
    <w:rsid w:val="73A808E4"/>
    <w:rsid w:val="751E4EBA"/>
    <w:rsid w:val="77D7618D"/>
    <w:rsid w:val="7BD10F90"/>
    <w:rsid w:val="7CA050CF"/>
    <w:rsid w:val="7E63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3602</Words>
  <Characters>3658</Characters>
  <Lines>0</Lines>
  <Paragraphs>0</Paragraphs>
  <TotalTime>14</TotalTime>
  <ScaleCrop>false</ScaleCrop>
  <LinksUpToDate>false</LinksUpToDate>
  <CharactersWithSpaces>3744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2023-06-03T01:23:00Z</dcterms:created>
  <dc:creator>诺</dc:creator>
  <cp:lastModifiedBy>Administrator</cp:lastModifiedBy>
  <cp:lastPrinted>2024-09-13T01:38:46Z</cp:lastPrinted>
  <dcterms:modified xsi:type="dcterms:W3CDTF">2024-09-13T01:39:17Z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79E865C145AE4835887768954FEC46F4_11</vt:lpwstr>
  </property>
</Properties>
</file>