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40" w:lineRule="exact"/>
        <w:ind w:right="-19" w:rightChars="-6"/>
        <w:jc w:val="left"/>
        <w:rPr>
          <w:rFonts w:ascii="黑体" w:hAnsi="黑体" w:eastAsia="黑体"/>
          <w:color w:val="000000"/>
        </w:rPr>
      </w:pPr>
      <w:r>
        <w:rPr>
          <w:rFonts w:hint="eastAsia" w:ascii="黑体" w:hAnsi="黑体" w:eastAsia="黑体"/>
          <w:color w:val="000000"/>
        </w:rPr>
        <w:t>附件1</w:t>
      </w:r>
    </w:p>
    <w:p>
      <w:pPr>
        <w:snapToGrid w:val="0"/>
        <w:spacing w:line="840" w:lineRule="exact"/>
        <w:ind w:right="-19" w:rightChars="-6"/>
        <w:jc w:val="center"/>
        <w:rPr>
          <w:rFonts w:ascii="黑体" w:hAnsi="宋体" w:eastAsia="黑体"/>
          <w:b/>
          <w:color w:val="000000"/>
          <w:sz w:val="48"/>
        </w:rPr>
      </w:pPr>
      <w:r>
        <w:rPr>
          <w:rFonts w:hint="eastAsia" w:ascii="黑体" w:hAnsi="黑体" w:eastAsia="黑体"/>
          <w:b/>
          <w:color w:val="000000"/>
          <w:sz w:val="48"/>
        </w:rPr>
        <w:t>闽南师范大学全日制专业学位</w:t>
      </w:r>
    </w:p>
    <w:p>
      <w:pPr>
        <w:snapToGrid w:val="0"/>
        <w:spacing w:line="840" w:lineRule="exact"/>
        <w:ind w:right="-19" w:rightChars="-6"/>
        <w:jc w:val="center"/>
        <w:rPr>
          <w:rFonts w:ascii="黑体" w:hAnsi="宋体" w:eastAsia="黑体"/>
          <w:b/>
          <w:color w:val="000000"/>
          <w:sz w:val="48"/>
        </w:rPr>
      </w:pPr>
      <w:r>
        <w:rPr>
          <w:rFonts w:hint="eastAsia" w:ascii="黑体" w:hAnsi="黑体" w:eastAsia="黑体"/>
          <w:b/>
          <w:color w:val="000000"/>
          <w:sz w:val="48"/>
        </w:rPr>
        <w:t>硕士研究生培养方案</w:t>
      </w:r>
    </w:p>
    <w:p>
      <w:pPr>
        <w:spacing w:line="560" w:lineRule="exact"/>
        <w:ind w:right="-19" w:rightChars="-6"/>
        <w:jc w:val="center"/>
        <w:rPr>
          <w:rFonts w:ascii="黑体" w:hAnsi="宋体" w:eastAsia="黑体"/>
          <w:color w:val="000000"/>
          <w:sz w:val="52"/>
        </w:rPr>
      </w:pPr>
    </w:p>
    <w:p>
      <w:pPr>
        <w:spacing w:line="560" w:lineRule="exact"/>
        <w:ind w:right="-19" w:rightChars="-6"/>
        <w:jc w:val="center"/>
        <w:rPr>
          <w:rFonts w:ascii="黑体" w:hAnsi="宋体" w:eastAsia="黑体"/>
          <w:color w:val="000000"/>
          <w:sz w:val="44"/>
        </w:rPr>
      </w:pPr>
    </w:p>
    <w:p>
      <w:pPr>
        <w:spacing w:line="560" w:lineRule="exact"/>
        <w:ind w:right="-19" w:rightChars="-6"/>
        <w:jc w:val="center"/>
        <w:rPr>
          <w:rFonts w:ascii="黑体" w:hAnsi="宋体" w:eastAsia="黑体"/>
          <w:color w:val="000000"/>
          <w:sz w:val="44"/>
        </w:rPr>
      </w:pPr>
    </w:p>
    <w:p>
      <w:pPr>
        <w:snapToGrid w:val="0"/>
        <w:spacing w:line="840" w:lineRule="exact"/>
        <w:ind w:right="-19" w:rightChars="-6" w:firstLine="720" w:firstLineChars="200"/>
        <w:jc w:val="left"/>
        <w:rPr>
          <w:rFonts w:ascii="宋体" w:hAnsi="宋体" w:eastAsia="宋体"/>
          <w:color w:val="000000"/>
          <w:sz w:val="36"/>
          <w:u w:val="single"/>
        </w:rPr>
      </w:pPr>
      <w:r>
        <w:rPr>
          <w:rFonts w:hint="eastAsia" w:ascii="宋体" w:hAnsi="宋体" w:eastAsia="宋体"/>
          <w:color w:val="000000"/>
          <w:sz w:val="36"/>
          <w:lang w:eastAsia="zh-CN"/>
        </w:rPr>
        <w:t>专业学位类别（领域）名称：</w:t>
      </w:r>
      <w:r>
        <w:rPr>
          <w:rFonts w:hint="eastAsia" w:ascii="宋体" w:hAnsi="宋体" w:eastAsia="宋体"/>
          <w:color w:val="000000"/>
          <w:sz w:val="36"/>
          <w:u w:val="single"/>
        </w:rPr>
        <w:t xml:space="preserve">   </w:t>
      </w:r>
      <w:r>
        <w:rPr>
          <w:rFonts w:hint="eastAsia" w:ascii="宋体" w:hAnsi="宋体" w:eastAsia="宋体"/>
          <w:color w:val="000000"/>
          <w:sz w:val="36"/>
          <w:u w:val="single"/>
          <w:lang w:eastAsia="zh-CN"/>
        </w:rPr>
        <w:t>学科教学（语文）</w:t>
      </w:r>
      <w:r>
        <w:rPr>
          <w:rFonts w:hint="eastAsia" w:ascii="宋体" w:hAnsi="宋体" w:eastAsia="宋体"/>
          <w:color w:val="000000"/>
          <w:sz w:val="36"/>
          <w:u w:val="single"/>
          <w:lang w:val="en-US" w:eastAsia="zh-CN"/>
        </w:rPr>
        <w:t xml:space="preserve">  </w:t>
      </w:r>
      <w:r>
        <w:rPr>
          <w:rFonts w:hint="eastAsia" w:ascii="宋体" w:hAnsi="宋体" w:eastAsia="宋体"/>
          <w:color w:val="000000"/>
          <w:sz w:val="36"/>
          <w:u w:val="single"/>
        </w:rPr>
        <w:t xml:space="preserve">       </w:t>
      </w:r>
      <w:r>
        <w:rPr>
          <w:rFonts w:hint="eastAsia" w:ascii="宋体" w:hAnsi="宋体" w:eastAsia="宋体"/>
          <w:color w:val="000000"/>
          <w:sz w:val="36"/>
          <w:u w:val="single"/>
          <w:lang w:val="en-US" w:eastAsia="zh-CN"/>
        </w:rPr>
        <w:t xml:space="preserve">  </w:t>
      </w:r>
      <w:r>
        <w:rPr>
          <w:rFonts w:hint="eastAsia" w:ascii="宋体" w:hAnsi="宋体" w:eastAsia="宋体"/>
          <w:color w:val="000000"/>
          <w:sz w:val="36"/>
          <w:u w:val="single"/>
        </w:rPr>
        <w:t xml:space="preserve">    </w:t>
      </w:r>
    </w:p>
    <w:p>
      <w:pPr>
        <w:spacing w:beforeLines="100" w:afterLines="100" w:line="680" w:lineRule="exact"/>
        <w:ind w:right="-19" w:rightChars="-6" w:firstLine="720" w:firstLineChars="200"/>
        <w:jc w:val="left"/>
        <w:rPr>
          <w:rFonts w:ascii="宋体" w:hAnsi="宋体" w:eastAsia="宋体"/>
          <w:color w:val="000000"/>
          <w:sz w:val="44"/>
          <w:u w:val="single"/>
        </w:rPr>
      </w:pPr>
      <w:r>
        <w:rPr>
          <w:rFonts w:hint="eastAsia" w:ascii="宋体" w:hAnsi="宋体" w:eastAsia="宋体"/>
          <w:color w:val="000000"/>
          <w:sz w:val="36"/>
          <w:lang w:eastAsia="zh-CN"/>
        </w:rPr>
        <w:t>专业学位类别（领域）代码</w:t>
      </w:r>
      <w:r>
        <w:rPr>
          <w:rFonts w:hint="eastAsia" w:ascii="宋体" w:hAnsi="宋体" w:eastAsia="宋体"/>
          <w:sz w:val="36"/>
        </w:rPr>
        <w:t>：</w:t>
      </w:r>
      <w:r>
        <w:rPr>
          <w:rFonts w:hint="eastAsia" w:ascii="宋体" w:hAnsi="宋体" w:eastAsia="宋体"/>
          <w:color w:val="000000"/>
          <w:sz w:val="36"/>
          <w:u w:val="single"/>
        </w:rPr>
        <w:t xml:space="preserve">         0451</w:t>
      </w:r>
      <w:r>
        <w:rPr>
          <w:rFonts w:hint="eastAsia" w:ascii="宋体" w:hAnsi="宋体" w:eastAsia="宋体"/>
          <w:color w:val="000000"/>
          <w:sz w:val="36"/>
          <w:u w:val="single"/>
          <w:lang w:val="en-US" w:eastAsia="zh-CN"/>
        </w:rPr>
        <w:t xml:space="preserve">03  </w:t>
      </w:r>
      <w:r>
        <w:rPr>
          <w:rFonts w:hint="eastAsia" w:ascii="宋体" w:hAnsi="宋体" w:eastAsia="宋体"/>
          <w:color w:val="000000"/>
          <w:sz w:val="36"/>
          <w:u w:val="single"/>
        </w:rPr>
        <w:t xml:space="preserve">      </w:t>
      </w:r>
      <w:r>
        <w:rPr>
          <w:rFonts w:hint="eastAsia" w:ascii="宋体" w:hAnsi="宋体" w:eastAsia="宋体"/>
          <w:color w:val="000000"/>
          <w:sz w:val="36"/>
          <w:u w:val="single"/>
          <w:lang w:val="en-US" w:eastAsia="zh-CN"/>
        </w:rPr>
        <w:t xml:space="preserve">  </w:t>
      </w:r>
      <w:r>
        <w:rPr>
          <w:rFonts w:hint="eastAsia" w:ascii="宋体" w:hAnsi="宋体" w:eastAsia="宋体"/>
          <w:color w:val="000000"/>
          <w:sz w:val="36"/>
          <w:u w:val="single"/>
        </w:rPr>
        <w:t xml:space="preserve">      </w:t>
      </w:r>
    </w:p>
    <w:p>
      <w:pPr>
        <w:spacing w:beforeLines="100" w:afterLines="100" w:line="680" w:lineRule="exact"/>
        <w:ind w:right="-19" w:rightChars="-6" w:firstLine="720" w:firstLineChars="200"/>
        <w:jc w:val="left"/>
        <w:rPr>
          <w:rFonts w:ascii="宋体" w:hAnsi="宋体" w:eastAsia="宋体"/>
          <w:color w:val="000000"/>
          <w:sz w:val="36"/>
          <w:u w:val="single"/>
        </w:rPr>
      </w:pPr>
      <w:r>
        <w:rPr>
          <w:rFonts w:hint="eastAsia" w:ascii="宋体" w:hAnsi="宋体" w:eastAsia="宋体"/>
          <w:sz w:val="36"/>
        </w:rPr>
        <w:t>培养单位：</w:t>
      </w:r>
      <w:r>
        <w:rPr>
          <w:rFonts w:hint="eastAsia" w:ascii="宋体" w:hAnsi="宋体" w:eastAsia="宋体"/>
          <w:color w:val="000000"/>
          <w:sz w:val="36"/>
          <w:u w:val="single"/>
        </w:rPr>
        <w:t xml:space="preserve">         文学院        </w:t>
      </w:r>
      <w:r>
        <w:rPr>
          <w:rFonts w:hint="eastAsia" w:ascii="宋体" w:hAnsi="宋体" w:eastAsia="宋体"/>
          <w:color w:val="000000"/>
          <w:sz w:val="36"/>
          <w:u w:val="single"/>
          <w:lang w:val="en-US" w:eastAsia="zh-CN"/>
        </w:rPr>
        <w:t xml:space="preserve"> </w:t>
      </w:r>
      <w:r>
        <w:rPr>
          <w:rFonts w:hint="eastAsia" w:ascii="宋体" w:hAnsi="宋体" w:eastAsia="宋体"/>
          <w:color w:val="000000"/>
          <w:sz w:val="36"/>
          <w:u w:val="single"/>
        </w:rPr>
        <w:t xml:space="preserve">    </w:t>
      </w:r>
    </w:p>
    <w:p>
      <w:pPr>
        <w:spacing w:beforeLines="100" w:afterLines="100" w:line="680" w:lineRule="exact"/>
        <w:ind w:right="-19" w:rightChars="-6" w:firstLine="720" w:firstLineChars="200"/>
        <w:jc w:val="left"/>
        <w:rPr>
          <w:rFonts w:ascii="宋体" w:hAnsi="宋体" w:eastAsia="宋体"/>
          <w:color w:val="000000"/>
          <w:sz w:val="36"/>
          <w:u w:val="single"/>
        </w:rPr>
      </w:pPr>
      <w:r>
        <w:rPr>
          <w:rFonts w:hint="eastAsia" w:ascii="宋体" w:hAnsi="宋体" w:eastAsia="宋体"/>
          <w:sz w:val="36"/>
        </w:rPr>
        <w:t>填表日期：</w:t>
      </w:r>
      <w:r>
        <w:rPr>
          <w:rFonts w:hint="eastAsia" w:ascii="宋体" w:hAnsi="宋体" w:eastAsia="宋体"/>
          <w:color w:val="000000"/>
          <w:sz w:val="36"/>
          <w:u w:val="single"/>
        </w:rPr>
        <w:t xml:space="preserve">      202</w:t>
      </w:r>
      <w:r>
        <w:rPr>
          <w:rFonts w:hint="eastAsia" w:ascii="宋体" w:hAnsi="宋体" w:eastAsia="宋体"/>
          <w:color w:val="000000"/>
          <w:sz w:val="36"/>
          <w:u w:val="single"/>
          <w:lang w:val="en-US" w:eastAsia="zh-CN"/>
        </w:rPr>
        <w:t>4</w:t>
      </w:r>
      <w:r>
        <w:rPr>
          <w:rFonts w:hint="eastAsia" w:ascii="宋体" w:hAnsi="宋体" w:eastAsia="宋体"/>
          <w:color w:val="000000"/>
          <w:sz w:val="36"/>
          <w:u w:val="single"/>
        </w:rPr>
        <w:t>年</w:t>
      </w:r>
      <w:r>
        <w:rPr>
          <w:rFonts w:hint="eastAsia" w:ascii="宋体" w:hAnsi="宋体" w:eastAsia="宋体"/>
          <w:color w:val="000000"/>
          <w:sz w:val="36"/>
          <w:u w:val="single"/>
          <w:lang w:val="en-US" w:eastAsia="zh-CN"/>
        </w:rPr>
        <w:t>6</w:t>
      </w:r>
      <w:r>
        <w:rPr>
          <w:rFonts w:hint="eastAsia" w:ascii="宋体" w:hAnsi="宋体" w:eastAsia="宋体"/>
          <w:color w:val="000000"/>
          <w:sz w:val="36"/>
          <w:u w:val="single"/>
        </w:rPr>
        <w:t>月</w:t>
      </w:r>
      <w:r>
        <w:rPr>
          <w:rFonts w:hint="eastAsia" w:ascii="宋体" w:hAnsi="宋体" w:eastAsia="宋体"/>
          <w:color w:val="000000"/>
          <w:sz w:val="36"/>
          <w:u w:val="single"/>
          <w:lang w:val="en-US" w:eastAsia="zh-CN"/>
        </w:rPr>
        <w:t>5</w:t>
      </w:r>
      <w:r>
        <w:rPr>
          <w:rFonts w:hint="eastAsia" w:ascii="宋体" w:hAnsi="宋体" w:eastAsia="宋体"/>
          <w:color w:val="000000"/>
          <w:sz w:val="36"/>
          <w:u w:val="single"/>
        </w:rPr>
        <w:t xml:space="preserve">日       </w:t>
      </w:r>
    </w:p>
    <w:p>
      <w:pPr>
        <w:spacing w:beforeLines="100" w:afterLines="100" w:line="560" w:lineRule="exact"/>
        <w:ind w:right="-19" w:rightChars="-6"/>
        <w:rPr>
          <w:rFonts w:ascii="宋体" w:hAnsi="宋体" w:eastAsia="宋体"/>
          <w:sz w:val="30"/>
        </w:rPr>
      </w:pPr>
    </w:p>
    <w:p>
      <w:pPr>
        <w:spacing w:beforeLines="100" w:afterLines="100" w:line="560" w:lineRule="exact"/>
        <w:ind w:right="-19" w:rightChars="-6"/>
        <w:rPr>
          <w:rFonts w:ascii="宋体" w:hAnsi="宋体" w:eastAsia="宋体"/>
          <w:sz w:val="30"/>
        </w:rPr>
      </w:pPr>
    </w:p>
    <w:p>
      <w:pPr>
        <w:spacing w:beforeLines="100" w:afterLines="100" w:line="560" w:lineRule="exact"/>
        <w:ind w:right="-19" w:rightChars="-6"/>
        <w:rPr>
          <w:rFonts w:ascii="宋体" w:hAnsi="宋体" w:eastAsia="宋体"/>
          <w:sz w:val="30"/>
        </w:rPr>
      </w:pPr>
    </w:p>
    <w:p>
      <w:pPr>
        <w:spacing w:line="560" w:lineRule="exact"/>
        <w:ind w:right="-19" w:rightChars="-6"/>
        <w:jc w:val="center"/>
        <w:rPr>
          <w:rFonts w:ascii="宋体" w:hAnsi="宋体" w:eastAsia="宋体"/>
        </w:rPr>
      </w:pPr>
      <w:r>
        <w:rPr>
          <w:rFonts w:hint="eastAsia" w:ascii="宋体" w:hAnsi="宋体" w:eastAsia="宋体"/>
        </w:rPr>
        <w:t>学科建设与研究生工作处制</w:t>
      </w:r>
    </w:p>
    <w:p>
      <w:pPr>
        <w:spacing w:line="560" w:lineRule="exact"/>
        <w:ind w:right="-19" w:rightChars="-6"/>
        <w:jc w:val="center"/>
        <w:rPr>
          <w:rFonts w:hint="eastAsia" w:ascii="宋体" w:hAnsi="宋体" w:eastAsia="宋体"/>
        </w:rPr>
      </w:pPr>
      <w:r>
        <w:rPr>
          <w:rFonts w:hint="eastAsia" w:ascii="宋体" w:hAnsi="宋体" w:eastAsia="宋体"/>
        </w:rPr>
        <w:t>202</w:t>
      </w:r>
      <w:r>
        <w:rPr>
          <w:rFonts w:hint="eastAsia" w:ascii="宋体" w:hAnsi="宋体" w:eastAsia="宋体"/>
          <w:lang w:val="en-US" w:eastAsia="zh-CN"/>
        </w:rPr>
        <w:t>3</w:t>
      </w:r>
      <w:r>
        <w:rPr>
          <w:rFonts w:hint="eastAsia" w:ascii="宋体" w:hAnsi="宋体" w:eastAsia="宋体"/>
        </w:rPr>
        <w:t>年6月</w:t>
      </w:r>
    </w:p>
    <w:p>
      <w:pPr>
        <w:spacing w:line="560" w:lineRule="exact"/>
        <w:ind w:right="-19" w:rightChars="-6"/>
        <w:jc w:val="center"/>
        <w:rPr>
          <w:rFonts w:hint="eastAsia" w:ascii="宋体" w:hAnsi="宋体" w:eastAsia="宋体"/>
        </w:rPr>
      </w:pPr>
    </w:p>
    <w:p>
      <w:pPr>
        <w:numPr>
          <w:ilvl w:val="0"/>
          <w:numId w:val="1"/>
        </w:numPr>
        <w:spacing w:line="540" w:lineRule="exact"/>
        <w:ind w:left="640" w:right="-19" w:rightChars="-6"/>
        <w:rPr>
          <w:rFonts w:ascii="黑体" w:hAnsi="黑体" w:eastAsia="黑体"/>
        </w:rPr>
      </w:pPr>
      <w:r>
        <w:rPr>
          <w:rFonts w:hint="eastAsia" w:ascii="黑体" w:hAnsi="黑体" w:eastAsia="黑体"/>
        </w:rPr>
        <w:t>学科概况</w:t>
      </w:r>
    </w:p>
    <w:p>
      <w:pPr>
        <w:spacing w:line="540" w:lineRule="exact"/>
        <w:ind w:right="-19" w:rightChars="-6" w:firstLine="600" w:firstLineChars="200"/>
        <w:rPr>
          <w:rFonts w:ascii="FangSong_GB2312" w:hAnsi="FangSong_GB2312" w:cs="FangSong_GB2312"/>
          <w:sz w:val="30"/>
          <w:szCs w:val="30"/>
        </w:rPr>
      </w:pPr>
      <w:r>
        <w:rPr>
          <w:rFonts w:hint="eastAsia" w:ascii="FangSong_GB2312"/>
          <w:sz w:val="30"/>
          <w:szCs w:val="30"/>
        </w:rPr>
        <w:t>教育学是学校重点建设的学科，2005年获课程与教学论硕士学位授予权，2009年获教育硕士专业学位授予权，2019年被确定为福建省高原学科建设学科。教育硕士专业学位涵盖17个学科领域，已培养10届1170名研究生。</w:t>
      </w:r>
    </w:p>
    <w:p>
      <w:pPr>
        <w:numPr>
          <w:ilvl w:val="0"/>
          <w:numId w:val="1"/>
        </w:numPr>
        <w:spacing w:line="540" w:lineRule="exact"/>
        <w:ind w:left="640" w:right="-19" w:rightChars="-6"/>
        <w:rPr>
          <w:rFonts w:ascii="黑体" w:hAnsi="黑体" w:eastAsia="黑体"/>
        </w:rPr>
      </w:pPr>
      <w:r>
        <w:rPr>
          <w:rFonts w:hint="eastAsia" w:ascii="黑体" w:hAnsi="黑体" w:eastAsia="黑体"/>
        </w:rPr>
        <w:t>培养方向</w:t>
      </w:r>
    </w:p>
    <w:p>
      <w:pPr>
        <w:spacing w:line="540" w:lineRule="exact"/>
        <w:ind w:firstLine="600" w:firstLineChars="200"/>
        <w:rPr>
          <w:rFonts w:ascii="FangSong_GB2312" w:hAnsi="FangSong_GB2312" w:cs="FangSong_GB2312"/>
        </w:rPr>
      </w:pPr>
      <w:r>
        <w:rPr>
          <w:rFonts w:hint="eastAsia" w:ascii="FangSong_GB2312" w:hAnsi="FangSong_GB2312" w:cs="FangSong_GB2312"/>
          <w:sz w:val="30"/>
          <w:szCs w:val="30"/>
        </w:rPr>
        <w:t>本专业领域属于全日制教育硕士专业学位类别的学科教学（语文）专业领域。现有福建省“专业学位研究生导师团队”1个，其中“全国教育硕士优秀教师”2名；有本校全职导师38名，其中教授2</w:t>
      </w:r>
      <w:r>
        <w:rPr>
          <w:rFonts w:hint="eastAsia" w:ascii="FangSong_GB2312" w:hAnsi="FangSong_GB2312" w:cs="FangSong_GB2312"/>
          <w:sz w:val="30"/>
          <w:szCs w:val="30"/>
          <w:lang w:val="en-US" w:eastAsia="zh-CN"/>
        </w:rPr>
        <w:t>3</w:t>
      </w:r>
      <w:r>
        <w:rPr>
          <w:rFonts w:hint="eastAsia" w:ascii="FangSong_GB2312" w:hAnsi="FangSong_GB2312" w:cs="FangSong_GB2312"/>
          <w:sz w:val="30"/>
          <w:szCs w:val="30"/>
        </w:rPr>
        <w:t>名；校外兼职导师22名，其中特级教师、正高级教师4名。本专业领域在语文知识的建构与运用、</w:t>
      </w:r>
      <w:r>
        <w:rPr>
          <w:rFonts w:hint="eastAsia" w:ascii="FangSong_GB2312" w:hAnsi="FangSong_GB2312" w:cs="FangSong_GB2312"/>
          <w:sz w:val="30"/>
          <w:szCs w:val="30"/>
          <w:lang w:val="en-US" w:eastAsia="zh-CN"/>
        </w:rPr>
        <w:t>语文阅读与</w:t>
      </w:r>
      <w:r>
        <w:rPr>
          <w:rFonts w:hint="eastAsia" w:ascii="FangSong_GB2312" w:hAnsi="FangSong_GB2312" w:cs="FangSong_GB2312"/>
          <w:sz w:val="30"/>
          <w:szCs w:val="30"/>
        </w:rPr>
        <w:t>作文教学、修辞与语体教学、</w:t>
      </w:r>
      <w:r>
        <w:rPr>
          <w:rFonts w:hint="eastAsia" w:ascii="FangSong_GB2312" w:hAnsi="FangSong_GB2312" w:cs="FangSong_GB2312"/>
          <w:sz w:val="30"/>
          <w:szCs w:val="30"/>
          <w:lang w:val="en-US" w:eastAsia="zh-CN"/>
        </w:rPr>
        <w:t>语文教育测量与评价</w:t>
      </w:r>
      <w:r>
        <w:rPr>
          <w:rFonts w:hint="eastAsia" w:ascii="FangSong_GB2312" w:hAnsi="FangSong_GB2312" w:cs="FangSong_GB2312"/>
          <w:sz w:val="30"/>
          <w:szCs w:val="30"/>
        </w:rPr>
        <w:t>等方面具有一定的特色与优势。</w:t>
      </w:r>
    </w:p>
    <w:p>
      <w:pPr>
        <w:numPr>
          <w:ilvl w:val="0"/>
          <w:numId w:val="1"/>
        </w:numPr>
        <w:spacing w:line="540" w:lineRule="exact"/>
        <w:ind w:left="640" w:right="-19" w:rightChars="-6"/>
        <w:rPr>
          <w:rFonts w:ascii="黑体" w:hAnsi="黑体" w:eastAsia="黑体"/>
        </w:rPr>
      </w:pPr>
      <w:r>
        <w:rPr>
          <w:rFonts w:hint="eastAsia" w:ascii="黑体" w:hAnsi="黑体" w:eastAsia="黑体"/>
        </w:rPr>
        <w:t>培养目标</w:t>
      </w:r>
    </w:p>
    <w:p>
      <w:pPr>
        <w:widowControl/>
        <w:adjustRightInd w:val="0"/>
        <w:snapToGrid w:val="0"/>
        <w:spacing w:line="540" w:lineRule="exact"/>
        <w:ind w:firstLine="600" w:firstLineChars="200"/>
        <w:rPr>
          <w:rFonts w:ascii="FangSong_GB2312" w:hAnsi="FangSong_GB2312" w:cs="FangSong_GB2312"/>
          <w:color w:val="4B332E"/>
          <w:sz w:val="30"/>
          <w:szCs w:val="30"/>
        </w:rPr>
      </w:pPr>
      <w:r>
        <w:rPr>
          <w:rFonts w:hint="eastAsia" w:ascii="FangSong_GB2312" w:hAnsi="FangSong_GB2312" w:cs="FangSong_GB2312"/>
          <w:color w:val="000000"/>
          <w:sz w:val="30"/>
          <w:szCs w:val="30"/>
          <w:shd w:val="clear" w:color="auto" w:fill="FFFFFF"/>
        </w:rPr>
        <w:t>培养立足闽南、扎根福建、面向全国的具有较高理论素养、职业道德、学识水平和教育教学实践能力的</w:t>
      </w:r>
      <w:r>
        <w:rPr>
          <w:rFonts w:hint="eastAsia" w:ascii="FangSong_GB2312" w:hAnsi="FangSong_GB2312" w:cs="FangSong_GB2312"/>
          <w:color w:val="000000"/>
          <w:sz w:val="30"/>
          <w:szCs w:val="30"/>
          <w:shd w:val="clear" w:color="auto" w:fill="FFFFFF"/>
          <w:lang w:eastAsia="zh-CN"/>
        </w:rPr>
        <w:t>中学高素质</w:t>
      </w:r>
      <w:r>
        <w:rPr>
          <w:rFonts w:hint="eastAsia" w:ascii="FangSong_GB2312" w:hAnsi="FangSong_GB2312" w:cs="FangSong_GB2312"/>
          <w:color w:val="000000"/>
          <w:sz w:val="30"/>
          <w:szCs w:val="30"/>
          <w:shd w:val="clear" w:color="auto" w:fill="FFFFFF"/>
        </w:rPr>
        <w:t>语文教师。</w:t>
      </w:r>
      <w:r>
        <w:rPr>
          <w:rFonts w:hint="eastAsia" w:ascii="FangSong_GB2312" w:hAnsi="FangSong_GB2312" w:cs="FangSong_GB2312"/>
          <w:sz w:val="30"/>
          <w:szCs w:val="30"/>
        </w:rPr>
        <w:t>具体要求为：</w:t>
      </w:r>
    </w:p>
    <w:p>
      <w:pPr>
        <w:pStyle w:val="4"/>
        <w:shd w:val="clear" w:color="auto" w:fill="FFFFFF"/>
        <w:adjustRightInd w:val="0"/>
        <w:snapToGrid w:val="0"/>
        <w:spacing w:before="0" w:beforeAutospacing="0" w:after="0" w:afterAutospacing="0" w:line="540" w:lineRule="exact"/>
        <w:ind w:firstLine="600" w:firstLineChars="200"/>
        <w:textAlignment w:val="baseline"/>
        <w:rPr>
          <w:rFonts w:ascii="FangSong_GB2312" w:hAnsi="FangSong_GB2312" w:eastAsia="FangSong_GB2312" w:cs="FangSong_GB2312"/>
          <w:color w:val="000000"/>
          <w:sz w:val="30"/>
          <w:szCs w:val="30"/>
        </w:rPr>
      </w:pPr>
      <w:r>
        <w:rPr>
          <w:rFonts w:hint="eastAsia" w:ascii="FangSong_GB2312" w:hAnsi="FangSong_GB2312" w:eastAsia="FangSong_GB2312" w:cs="FangSong_GB2312"/>
          <w:color w:val="000000"/>
          <w:sz w:val="30"/>
          <w:szCs w:val="30"/>
          <w:shd w:val="clear" w:color="auto" w:fill="FFFFFF"/>
        </w:rPr>
        <w:t>（一）热爱祖国，拥护中国共产党领导。热爱教育事业，关爱学生。立德树人，为人师表，恪守教师职业道德规范。</w:t>
      </w:r>
    </w:p>
    <w:p>
      <w:pPr>
        <w:pStyle w:val="4"/>
        <w:shd w:val="clear" w:color="auto" w:fill="FFFFFF"/>
        <w:adjustRightInd w:val="0"/>
        <w:snapToGrid w:val="0"/>
        <w:spacing w:before="0" w:beforeAutospacing="0" w:after="0" w:afterAutospacing="0" w:line="540" w:lineRule="exact"/>
        <w:ind w:firstLine="600" w:firstLineChars="200"/>
        <w:textAlignment w:val="baseline"/>
        <w:rPr>
          <w:rFonts w:hint="eastAsia" w:ascii="FangSong_GB2312" w:hAnsi="FangSong_GB2312" w:eastAsia="FangSong_GB2312" w:cs="FangSong_GB2312"/>
          <w:color w:val="000000"/>
          <w:sz w:val="30"/>
          <w:szCs w:val="30"/>
          <w:shd w:val="clear" w:color="auto" w:fill="FFFFFF"/>
        </w:rPr>
      </w:pPr>
      <w:r>
        <w:rPr>
          <w:rFonts w:hint="eastAsia" w:ascii="FangSong_GB2312" w:hAnsi="FangSong_GB2312" w:eastAsia="FangSong_GB2312" w:cs="FangSong_GB2312"/>
          <w:color w:val="000000"/>
          <w:sz w:val="30"/>
          <w:szCs w:val="30"/>
          <w:shd w:val="clear" w:color="auto" w:fill="FFFFFF"/>
        </w:rPr>
        <w:t>（二）系统掌握现代教育理论,具有扎实的教育专业和</w:t>
      </w:r>
      <w:r>
        <w:rPr>
          <w:rFonts w:hint="eastAsia" w:ascii="FangSong_GB2312" w:hAnsi="FangSong_GB2312" w:eastAsia="FangSong_GB2312" w:cs="FangSong_GB2312"/>
          <w:color w:val="000000"/>
          <w:sz w:val="30"/>
          <w:szCs w:val="30"/>
          <w:shd w:val="clear" w:color="auto" w:fill="FFFFFF"/>
          <w:lang w:eastAsia="zh-CN"/>
        </w:rPr>
        <w:t>语文</w:t>
      </w:r>
      <w:r>
        <w:rPr>
          <w:rFonts w:hint="eastAsia" w:ascii="FangSong_GB2312" w:hAnsi="FangSong_GB2312" w:eastAsia="FangSong_GB2312" w:cs="FangSong_GB2312"/>
          <w:color w:val="000000"/>
          <w:sz w:val="30"/>
          <w:szCs w:val="30"/>
          <w:shd w:val="clear" w:color="auto" w:fill="FFFFFF"/>
        </w:rPr>
        <w:t>学科专业基础，了解教育专业和</w:t>
      </w:r>
      <w:r>
        <w:rPr>
          <w:rFonts w:hint="eastAsia" w:ascii="FangSong_GB2312" w:hAnsi="FangSong_GB2312" w:eastAsia="FangSong_GB2312" w:cs="FangSong_GB2312"/>
          <w:color w:val="000000"/>
          <w:sz w:val="30"/>
          <w:szCs w:val="30"/>
          <w:shd w:val="clear" w:color="auto" w:fill="FFFFFF"/>
          <w:lang w:eastAsia="zh-CN"/>
        </w:rPr>
        <w:t>语文</w:t>
      </w:r>
      <w:r>
        <w:rPr>
          <w:rFonts w:hint="eastAsia" w:ascii="FangSong_GB2312" w:hAnsi="FangSong_GB2312" w:eastAsia="FangSong_GB2312" w:cs="FangSong_GB2312"/>
          <w:color w:val="000000"/>
          <w:sz w:val="30"/>
          <w:szCs w:val="30"/>
          <w:shd w:val="clear" w:color="auto" w:fill="FFFFFF"/>
        </w:rPr>
        <w:t>学科专业前沿和发展趋势。了解党和国家的教育方针政策和教育法律法规。</w:t>
      </w:r>
    </w:p>
    <w:p>
      <w:pPr>
        <w:pStyle w:val="4"/>
        <w:shd w:val="clear" w:color="auto" w:fill="FFFFFF"/>
        <w:adjustRightInd w:val="0"/>
        <w:snapToGrid w:val="0"/>
        <w:spacing w:before="0" w:beforeAutospacing="0" w:after="0" w:afterAutospacing="0" w:line="540" w:lineRule="exact"/>
        <w:ind w:firstLine="600" w:firstLineChars="200"/>
        <w:textAlignment w:val="baseline"/>
        <w:rPr>
          <w:rFonts w:hint="eastAsia" w:ascii="FangSong_GB2312" w:hAnsi="FangSong_GB2312" w:eastAsia="FangSong_GB2312" w:cs="FangSong_GB2312"/>
          <w:color w:val="000000"/>
          <w:sz w:val="30"/>
          <w:szCs w:val="30"/>
          <w:shd w:val="clear" w:color="auto" w:fill="FFFFFF"/>
        </w:rPr>
      </w:pPr>
      <w:r>
        <w:rPr>
          <w:rFonts w:hint="eastAsia" w:ascii="FangSong_GB2312" w:hAnsi="FangSong_GB2312" w:eastAsia="FangSong_GB2312" w:cs="FangSong_GB2312"/>
          <w:color w:val="000000"/>
          <w:sz w:val="30"/>
          <w:szCs w:val="30"/>
          <w:shd w:val="clear" w:color="auto" w:fill="FFFFFF"/>
        </w:rPr>
        <w:t>（三）具有较强的</w:t>
      </w:r>
      <w:r>
        <w:rPr>
          <w:rFonts w:hint="eastAsia" w:ascii="FangSong_GB2312" w:hAnsi="FangSong_GB2312" w:eastAsia="FangSong_GB2312" w:cs="FangSong_GB2312"/>
          <w:color w:val="000000"/>
          <w:sz w:val="30"/>
          <w:szCs w:val="30"/>
          <w:shd w:val="clear" w:color="auto" w:fill="FFFFFF"/>
          <w:lang w:eastAsia="zh-CN"/>
        </w:rPr>
        <w:t>语文学科</w:t>
      </w:r>
      <w:r>
        <w:rPr>
          <w:rFonts w:hint="eastAsia" w:ascii="FangSong_GB2312" w:hAnsi="FangSong_GB2312" w:eastAsia="FangSong_GB2312" w:cs="FangSong_GB2312"/>
          <w:color w:val="000000"/>
          <w:sz w:val="30"/>
          <w:szCs w:val="30"/>
          <w:shd w:val="clear" w:color="auto" w:fill="FFFFFF"/>
        </w:rPr>
        <w:t>教育教学实践能力</w:t>
      </w:r>
      <w:r>
        <w:rPr>
          <w:rFonts w:hint="eastAsia" w:ascii="FangSong_GB2312" w:hAnsi="FangSong_GB2312" w:eastAsia="FangSong_GB2312" w:cs="FangSong_GB2312"/>
          <w:color w:val="000000"/>
          <w:sz w:val="30"/>
          <w:szCs w:val="30"/>
          <w:shd w:val="clear" w:color="auto" w:fill="FFFFFF"/>
          <w:lang w:eastAsia="zh-CN"/>
        </w:rPr>
        <w:t>，</w:t>
      </w:r>
      <w:r>
        <w:rPr>
          <w:rFonts w:hint="eastAsia" w:ascii="FangSong_GB2312" w:hAnsi="FangSong_GB2312" w:eastAsia="FangSong_GB2312" w:cs="FangSong_GB2312"/>
          <w:color w:val="000000"/>
          <w:sz w:val="30"/>
          <w:szCs w:val="30"/>
          <w:shd w:val="clear" w:color="auto" w:fill="FFFFFF"/>
        </w:rPr>
        <w:t>胜任并能创造性地开展</w:t>
      </w:r>
      <w:r>
        <w:rPr>
          <w:rFonts w:hint="eastAsia" w:ascii="FangSong_GB2312" w:hAnsi="FangSong_GB2312" w:eastAsia="FangSong_GB2312" w:cs="FangSong_GB2312"/>
          <w:color w:val="000000"/>
          <w:sz w:val="30"/>
          <w:szCs w:val="30"/>
          <w:shd w:val="clear" w:color="auto" w:fill="FFFFFF"/>
          <w:lang w:eastAsia="zh-CN"/>
        </w:rPr>
        <w:t>语文学科</w:t>
      </w:r>
      <w:r>
        <w:rPr>
          <w:rFonts w:hint="eastAsia" w:ascii="FangSong_GB2312" w:hAnsi="FangSong_GB2312" w:eastAsia="FangSong_GB2312" w:cs="FangSong_GB2312"/>
          <w:color w:val="000000"/>
          <w:sz w:val="30"/>
          <w:szCs w:val="30"/>
          <w:shd w:val="clear" w:color="auto" w:fill="FFFFFF"/>
        </w:rPr>
        <w:t>教育教学工作。</w:t>
      </w:r>
    </w:p>
    <w:p>
      <w:pPr>
        <w:pStyle w:val="4"/>
        <w:shd w:val="clear" w:color="auto" w:fill="FFFFFF"/>
        <w:adjustRightInd w:val="0"/>
        <w:snapToGrid w:val="0"/>
        <w:spacing w:before="0" w:beforeAutospacing="0" w:after="0" w:afterAutospacing="0" w:line="540" w:lineRule="exact"/>
        <w:ind w:firstLine="600" w:firstLineChars="200"/>
        <w:textAlignment w:val="baseline"/>
        <w:rPr>
          <w:rFonts w:hint="eastAsia" w:ascii="FangSong_GB2312" w:hAnsi="FangSong_GB2312" w:eastAsia="FangSong_GB2312" w:cs="FangSong_GB2312"/>
          <w:color w:val="000000"/>
          <w:sz w:val="30"/>
          <w:szCs w:val="30"/>
          <w:shd w:val="clear" w:color="auto" w:fill="FFFFFF"/>
        </w:rPr>
      </w:pPr>
      <w:r>
        <w:rPr>
          <w:rFonts w:hint="eastAsia" w:ascii="FangSong_GB2312" w:hAnsi="FangSong_GB2312" w:eastAsia="FangSong_GB2312" w:cs="FangSong_GB2312"/>
          <w:color w:val="000000"/>
          <w:sz w:val="30"/>
          <w:szCs w:val="30"/>
          <w:shd w:val="clear" w:color="auto" w:fill="FFFFFF"/>
        </w:rPr>
        <w:t>（四）具有较强的</w:t>
      </w:r>
      <w:r>
        <w:rPr>
          <w:rFonts w:hint="eastAsia" w:ascii="FangSong_GB2312" w:hAnsi="FangSong_GB2312" w:eastAsia="FangSong_GB2312" w:cs="FangSong_GB2312"/>
          <w:color w:val="000000"/>
          <w:sz w:val="30"/>
          <w:szCs w:val="30"/>
          <w:shd w:val="clear" w:color="auto" w:fill="FFFFFF"/>
          <w:lang w:eastAsia="zh-CN"/>
        </w:rPr>
        <w:t>语文学科</w:t>
      </w:r>
      <w:r>
        <w:rPr>
          <w:rFonts w:hint="eastAsia" w:ascii="FangSong_GB2312" w:hAnsi="FangSong_GB2312" w:eastAsia="FangSong_GB2312" w:cs="FangSong_GB2312"/>
          <w:color w:val="000000"/>
          <w:sz w:val="30"/>
          <w:szCs w:val="30"/>
          <w:shd w:val="clear" w:color="auto" w:fill="FFFFFF"/>
        </w:rPr>
        <w:t xml:space="preserve">教育教学研究能力，善于发现、分析和解决教育教学实践问题。 </w:t>
      </w:r>
    </w:p>
    <w:p>
      <w:pPr>
        <w:pStyle w:val="4"/>
        <w:shd w:val="clear" w:color="auto" w:fill="FFFFFF"/>
        <w:adjustRightInd w:val="0"/>
        <w:snapToGrid w:val="0"/>
        <w:spacing w:before="0" w:beforeAutospacing="0" w:after="0" w:afterAutospacing="0" w:line="540" w:lineRule="exact"/>
        <w:ind w:firstLine="600" w:firstLineChars="200"/>
        <w:textAlignment w:val="baseline"/>
        <w:rPr>
          <w:rFonts w:hint="eastAsia" w:ascii="FangSong_GB2312" w:hAnsi="FangSong_GB2312" w:eastAsia="FangSong_GB2312" w:cs="FangSong_GB2312"/>
          <w:color w:val="000000"/>
          <w:sz w:val="30"/>
          <w:szCs w:val="30"/>
          <w:shd w:val="clear" w:color="auto" w:fill="FFFFFF"/>
        </w:rPr>
      </w:pPr>
      <w:r>
        <w:rPr>
          <w:rFonts w:hint="eastAsia" w:ascii="FangSong_GB2312" w:hAnsi="FangSong_GB2312" w:eastAsia="FangSong_GB2312" w:cs="FangSong_GB2312"/>
          <w:color w:val="000000"/>
          <w:sz w:val="30"/>
          <w:szCs w:val="30"/>
          <w:shd w:val="clear" w:color="auto" w:fill="FFFFFF"/>
          <w:lang w:eastAsia="zh-CN"/>
        </w:rPr>
        <w:t>（五）</w:t>
      </w:r>
      <w:r>
        <w:rPr>
          <w:rFonts w:hint="eastAsia" w:ascii="FangSong_GB2312" w:hAnsi="FangSong_GB2312" w:eastAsia="FangSong_GB2312" w:cs="FangSong_GB2312"/>
          <w:color w:val="000000"/>
          <w:sz w:val="30"/>
          <w:szCs w:val="30"/>
          <w:shd w:val="clear" w:color="auto" w:fill="FFFFFF"/>
        </w:rPr>
        <w:t>具有较强的数字化教育教学能力，能有效运用数字化技术手段和资源开展</w:t>
      </w:r>
      <w:r>
        <w:rPr>
          <w:rFonts w:hint="eastAsia" w:ascii="FangSong_GB2312" w:hAnsi="FangSong_GB2312" w:eastAsia="FangSong_GB2312" w:cs="FangSong_GB2312"/>
          <w:color w:val="000000"/>
          <w:sz w:val="30"/>
          <w:szCs w:val="30"/>
          <w:shd w:val="clear" w:color="auto" w:fill="FFFFFF"/>
          <w:lang w:eastAsia="zh-CN"/>
        </w:rPr>
        <w:t>语文学科</w:t>
      </w:r>
      <w:r>
        <w:rPr>
          <w:rFonts w:hint="eastAsia" w:ascii="FangSong_GB2312" w:hAnsi="FangSong_GB2312" w:eastAsia="FangSong_GB2312" w:cs="FangSong_GB2312"/>
          <w:color w:val="000000"/>
          <w:sz w:val="30"/>
          <w:szCs w:val="30"/>
          <w:shd w:val="clear" w:color="auto" w:fill="FFFFFF"/>
        </w:rPr>
        <w:t>教育教学工作。</w:t>
      </w:r>
    </w:p>
    <w:p>
      <w:pPr>
        <w:pStyle w:val="4"/>
        <w:shd w:val="clear" w:color="auto" w:fill="FFFFFF"/>
        <w:adjustRightInd w:val="0"/>
        <w:snapToGrid w:val="0"/>
        <w:spacing w:before="0" w:beforeAutospacing="0" w:after="0" w:afterAutospacing="0" w:line="540" w:lineRule="exact"/>
        <w:ind w:firstLine="600" w:firstLineChars="200"/>
        <w:textAlignment w:val="baseline"/>
        <w:rPr>
          <w:rFonts w:hint="eastAsia" w:ascii="FangSong_GB2312" w:hAnsi="FangSong_GB2312" w:eastAsia="FangSong_GB2312" w:cs="FangSong_GB2312"/>
          <w:color w:val="000000"/>
          <w:sz w:val="30"/>
          <w:szCs w:val="30"/>
          <w:shd w:val="clear" w:color="auto" w:fill="FFFFFF"/>
        </w:rPr>
      </w:pPr>
      <w:r>
        <w:rPr>
          <w:rFonts w:hint="eastAsia" w:ascii="FangSong_GB2312" w:hAnsi="FangSong_GB2312" w:eastAsia="FangSong_GB2312" w:cs="FangSong_GB2312"/>
          <w:color w:val="000000"/>
          <w:sz w:val="30"/>
          <w:szCs w:val="30"/>
          <w:shd w:val="clear" w:color="auto" w:fill="FFFFFF"/>
          <w:lang w:eastAsia="zh-CN"/>
        </w:rPr>
        <w:t>（六）</w:t>
      </w:r>
      <w:r>
        <w:rPr>
          <w:rFonts w:hint="eastAsia" w:ascii="FangSong_GB2312" w:hAnsi="FangSong_GB2312" w:eastAsia="FangSong_GB2312" w:cs="FangSong_GB2312"/>
          <w:color w:val="000000"/>
          <w:sz w:val="30"/>
          <w:szCs w:val="30"/>
          <w:shd w:val="clear" w:color="auto" w:fill="FFFFFF"/>
        </w:rPr>
        <w:t>具有终身学习与发展的意识与能力。</w:t>
      </w:r>
    </w:p>
    <w:p>
      <w:pPr>
        <w:pStyle w:val="4"/>
        <w:shd w:val="clear" w:color="auto" w:fill="FFFFFF"/>
        <w:adjustRightInd w:val="0"/>
        <w:snapToGrid w:val="0"/>
        <w:spacing w:before="0" w:beforeAutospacing="0" w:after="0" w:afterAutospacing="0" w:line="540" w:lineRule="exact"/>
        <w:ind w:firstLine="600" w:firstLineChars="200"/>
        <w:textAlignment w:val="baseline"/>
        <w:rPr>
          <w:rFonts w:hint="eastAsia" w:ascii="FangSong_GB2312" w:hAnsi="FangSong_GB2312" w:eastAsia="FangSong_GB2312" w:cs="FangSong_GB2312"/>
          <w:color w:val="000000"/>
          <w:sz w:val="30"/>
          <w:szCs w:val="30"/>
          <w:shd w:val="clear" w:color="auto" w:fill="FFFFFF"/>
          <w:lang w:eastAsia="zh-CN"/>
        </w:rPr>
      </w:pPr>
      <w:r>
        <w:rPr>
          <w:rFonts w:hint="eastAsia" w:ascii="FangSong_GB2312" w:hAnsi="FangSong_GB2312" w:eastAsia="FangSong_GB2312" w:cs="FangSong_GB2312"/>
          <w:color w:val="000000"/>
          <w:sz w:val="30"/>
          <w:szCs w:val="30"/>
          <w:shd w:val="clear" w:color="auto" w:fill="FFFFFF"/>
          <w:lang w:eastAsia="zh-CN"/>
        </w:rPr>
        <w:t>（七）具备运用一门外国语较为熟练地阅读本专业的外文文献阅读本领域外文资料的能力。</w:t>
      </w:r>
    </w:p>
    <w:p>
      <w:pPr>
        <w:spacing w:line="540" w:lineRule="exact"/>
        <w:ind w:left="640" w:right="-19" w:rightChars="-6"/>
        <w:rPr>
          <w:rFonts w:ascii="黑体" w:hAnsi="黑体" w:eastAsia="黑体"/>
        </w:rPr>
      </w:pPr>
      <w:r>
        <w:rPr>
          <w:rFonts w:hint="eastAsia" w:ascii="黑体" w:hAnsi="黑体" w:eastAsia="黑体"/>
        </w:rPr>
        <w:t>四、标准学制</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color w:val="000000"/>
          <w:sz w:val="30"/>
          <w:szCs w:val="30"/>
          <w:shd w:val="clear" w:color="auto" w:fill="FFFFFF"/>
        </w:rPr>
        <w:t>标准学制为2年。</w:t>
      </w:r>
    </w:p>
    <w:p>
      <w:pPr>
        <w:spacing w:line="540" w:lineRule="exact"/>
        <w:ind w:right="-19" w:rightChars="-6" w:firstLine="640" w:firstLineChars="200"/>
        <w:rPr>
          <w:rFonts w:ascii="黑体" w:hAnsi="黑体" w:eastAsia="黑体"/>
          <w:b/>
          <w:color w:val="FF0000"/>
        </w:rPr>
      </w:pPr>
      <w:r>
        <w:rPr>
          <w:rFonts w:hint="eastAsia" w:ascii="黑体" w:hAnsi="黑体" w:eastAsia="黑体"/>
        </w:rPr>
        <w:t>五、培养方式</w:t>
      </w:r>
    </w:p>
    <w:p>
      <w:pPr>
        <w:widowControl/>
        <w:adjustRightInd w:val="0"/>
        <w:snapToGrid w:val="0"/>
        <w:spacing w:line="540" w:lineRule="exact"/>
        <w:ind w:firstLine="600" w:firstLineChars="200"/>
        <w:rPr>
          <w:rFonts w:ascii="FangSong_GB2312" w:hAnsi="FangSong_GB2312" w:cs="FangSong_GB2312"/>
          <w:color w:val="000000"/>
          <w:sz w:val="30"/>
          <w:szCs w:val="30"/>
          <w:shd w:val="clear" w:color="auto" w:fill="FFFFFF"/>
        </w:rPr>
      </w:pPr>
      <w:r>
        <w:rPr>
          <w:rFonts w:hint="eastAsia" w:ascii="FangSong_GB2312" w:hAnsi="FangSong_GB2312" w:cs="FangSong_GB2312"/>
          <w:color w:val="000000"/>
          <w:sz w:val="30"/>
          <w:szCs w:val="30"/>
          <w:shd w:val="clear" w:color="auto" w:fill="FFFFFF"/>
        </w:rPr>
        <w:t>（一）</w:t>
      </w:r>
      <w:r>
        <w:rPr>
          <w:rFonts w:hint="eastAsia" w:ascii="FangSong_GB2312" w:hAnsi="FangSong_GB2312" w:cs="FangSong_GB2312"/>
          <w:sz w:val="30"/>
          <w:szCs w:val="30"/>
        </w:rPr>
        <w:t>采取导师“集体指导与个别负责相结合”的方式，充分发挥导师团队培养的优势。</w:t>
      </w:r>
    </w:p>
    <w:p>
      <w:pPr>
        <w:widowControl/>
        <w:adjustRightInd w:val="0"/>
        <w:snapToGrid w:val="0"/>
        <w:spacing w:line="540" w:lineRule="exact"/>
        <w:ind w:firstLine="600" w:firstLineChars="200"/>
        <w:rPr>
          <w:rFonts w:ascii="FangSong_GB2312" w:hAnsi="FangSong_GB2312" w:cs="FangSong_GB2312"/>
          <w:color w:val="000000"/>
          <w:sz w:val="30"/>
          <w:szCs w:val="30"/>
          <w:shd w:val="clear" w:color="auto" w:fill="FFFFFF"/>
        </w:rPr>
      </w:pPr>
      <w:r>
        <w:rPr>
          <w:rFonts w:hint="eastAsia" w:ascii="FangSong_GB2312" w:hAnsi="FangSong_GB2312" w:cs="FangSong_GB2312"/>
          <w:color w:val="000000"/>
          <w:sz w:val="30"/>
          <w:szCs w:val="30"/>
          <w:shd w:val="clear" w:color="auto" w:fill="FFFFFF"/>
        </w:rPr>
        <w:t>（二）采用理论与实践相结合的教学方式：重视理论与实践的结合，采用课堂互动、分组研讨、合作学习、案例教学、模拟教学等方式，促进研究生教育教学理论水平与实践能力的全面提高。</w:t>
      </w:r>
    </w:p>
    <w:p>
      <w:pPr>
        <w:widowControl/>
        <w:adjustRightInd w:val="0"/>
        <w:snapToGrid w:val="0"/>
        <w:spacing w:line="540" w:lineRule="exact"/>
        <w:ind w:firstLine="600" w:firstLineChars="200"/>
        <w:rPr>
          <w:rFonts w:ascii="FangSong_GB2312" w:hAnsi="FangSong_GB2312" w:cs="FangSong_GB2312"/>
          <w:sz w:val="30"/>
          <w:szCs w:val="30"/>
        </w:rPr>
      </w:pPr>
      <w:r>
        <w:rPr>
          <w:rFonts w:hint="eastAsia" w:ascii="FangSong_GB2312" w:hAnsi="FangSong_GB2312" w:cs="FangSong_GB2312"/>
          <w:color w:val="000000"/>
          <w:sz w:val="30"/>
          <w:szCs w:val="30"/>
          <w:shd w:val="clear" w:color="auto" w:fill="FFFFFF"/>
        </w:rPr>
        <w:t>（三）实行“双导师制”：成立导师组负责研究生的指导，聘任我校教师和具有高级职称、经验丰富的校外中小学语文教师作为指导教师，共同培养研究生。</w:t>
      </w:r>
    </w:p>
    <w:p>
      <w:pPr>
        <w:spacing w:line="540" w:lineRule="exact"/>
        <w:ind w:left="640" w:right="-19" w:rightChars="-6"/>
        <w:rPr>
          <w:rFonts w:ascii="黑体" w:hAnsi="黑体" w:eastAsia="黑体"/>
        </w:rPr>
      </w:pPr>
      <w:r>
        <w:rPr>
          <w:rFonts w:hint="eastAsia" w:ascii="黑体" w:hAnsi="黑体" w:eastAsia="黑体"/>
        </w:rPr>
        <w:t>六、学分学时</w:t>
      </w:r>
    </w:p>
    <w:p>
      <w:pPr>
        <w:spacing w:line="540" w:lineRule="exact"/>
        <w:ind w:firstLine="600" w:firstLineChars="200"/>
        <w:jc w:val="left"/>
        <w:rPr>
          <w:rFonts w:hint="eastAsia" w:ascii="FangSong_GB2312" w:hAnsi="FangSong_GB2312" w:eastAsia="FangSong_GB2312" w:cs="FangSong_GB2312"/>
          <w:color w:val="auto"/>
          <w:sz w:val="30"/>
          <w:szCs w:val="30"/>
          <w:lang w:eastAsia="zh-CN"/>
        </w:rPr>
      </w:pPr>
      <w:r>
        <w:rPr>
          <w:rFonts w:hint="eastAsia" w:ascii="FangSong_GB2312" w:hAnsi="FangSong_GB2312" w:cs="FangSong_GB2312"/>
          <w:color w:val="auto"/>
          <w:sz w:val="30"/>
          <w:szCs w:val="30"/>
        </w:rPr>
        <w:t>总学分为</w:t>
      </w:r>
      <w:r>
        <w:rPr>
          <w:rFonts w:ascii="FangSong_GB2312" w:hAnsi="FangSong_GB2312" w:cs="FangSong_GB2312"/>
          <w:color w:val="auto"/>
          <w:sz w:val="30"/>
          <w:szCs w:val="30"/>
        </w:rPr>
        <w:t>4</w:t>
      </w:r>
      <w:r>
        <w:rPr>
          <w:rFonts w:hint="eastAsia" w:ascii="FangSong_GB2312" w:hAnsi="FangSong_GB2312" w:cs="FangSong_GB2312"/>
          <w:color w:val="auto"/>
          <w:sz w:val="30"/>
          <w:szCs w:val="30"/>
          <w:lang w:val="en-US" w:eastAsia="zh-CN"/>
        </w:rPr>
        <w:t>0</w:t>
      </w:r>
      <w:r>
        <w:rPr>
          <w:rFonts w:hint="eastAsia" w:ascii="FangSong_GB2312" w:hAnsi="FangSong_GB2312" w:cs="FangSong_GB2312"/>
          <w:color w:val="auto"/>
          <w:sz w:val="30"/>
          <w:szCs w:val="30"/>
        </w:rPr>
        <w:t>学分</w:t>
      </w:r>
      <w:r>
        <w:rPr>
          <w:rFonts w:hint="eastAsia" w:ascii="FangSong_GB2312" w:hAnsi="FangSong_GB2312" w:cs="FangSong_GB2312"/>
          <w:color w:val="auto"/>
          <w:sz w:val="30"/>
          <w:szCs w:val="30"/>
          <w:lang w:eastAsia="zh-CN"/>
        </w:rPr>
        <w:t>。</w:t>
      </w:r>
    </w:p>
    <w:p>
      <w:pPr>
        <w:spacing w:line="540" w:lineRule="exact"/>
        <w:ind w:left="640" w:right="-19" w:rightChars="-6"/>
        <w:rPr>
          <w:rFonts w:ascii="黑体" w:hAnsi="黑体" w:eastAsia="黑体"/>
        </w:rPr>
      </w:pPr>
      <w:r>
        <w:rPr>
          <w:rFonts w:hint="eastAsia" w:ascii="黑体" w:hAnsi="黑体" w:eastAsia="黑体"/>
        </w:rPr>
        <w:t>七、课程结构</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课程分为必修课程、选修课程和补修课程，其中必修课程包括公共必修课、学</w:t>
      </w:r>
      <w:r>
        <w:rPr>
          <w:rFonts w:hint="eastAsia" w:ascii="FangSong_GB2312" w:hAnsi="FangSong_GB2312" w:cs="FangSong_GB2312"/>
          <w:sz w:val="30"/>
          <w:szCs w:val="30"/>
          <w:lang w:val="en-US" w:eastAsia="zh-CN"/>
        </w:rPr>
        <w:t>位</w:t>
      </w:r>
      <w:r>
        <w:rPr>
          <w:rFonts w:hint="eastAsia" w:ascii="FangSong_GB2312" w:hAnsi="FangSong_GB2312" w:cs="FangSong_GB2312"/>
          <w:sz w:val="30"/>
          <w:szCs w:val="30"/>
        </w:rPr>
        <w:t>基础课、</w:t>
      </w:r>
      <w:r>
        <w:rPr>
          <w:rFonts w:hint="eastAsia" w:ascii="FangSong_GB2312" w:hAnsi="FangSong_GB2312" w:cs="FangSong_GB2312"/>
          <w:sz w:val="30"/>
          <w:szCs w:val="30"/>
          <w:lang w:val="en-US" w:eastAsia="zh-CN"/>
        </w:rPr>
        <w:t>专业</w:t>
      </w:r>
      <w:r>
        <w:rPr>
          <w:rFonts w:hint="eastAsia" w:ascii="FangSong_GB2312" w:hAnsi="FangSong_GB2312" w:cs="FangSong_GB2312"/>
          <w:sz w:val="30"/>
          <w:szCs w:val="30"/>
        </w:rPr>
        <w:t>必修课三类；选修课程包括学科</w:t>
      </w:r>
      <w:r>
        <w:rPr>
          <w:rFonts w:hint="eastAsia" w:ascii="FangSong_GB2312" w:hAnsi="FangSong_GB2312" w:cs="FangSong_GB2312"/>
          <w:sz w:val="30"/>
          <w:szCs w:val="30"/>
          <w:lang w:val="en-US" w:eastAsia="zh-CN"/>
        </w:rPr>
        <w:t>素养</w:t>
      </w:r>
      <w:r>
        <w:rPr>
          <w:rFonts w:hint="eastAsia" w:ascii="FangSong_GB2312" w:hAnsi="FangSong_GB2312" w:cs="FangSong_GB2312"/>
          <w:sz w:val="30"/>
          <w:szCs w:val="30"/>
        </w:rPr>
        <w:t>类、</w:t>
      </w:r>
      <w:r>
        <w:rPr>
          <w:rFonts w:hint="eastAsia" w:ascii="FangSong_GB2312" w:hAnsi="FangSong_GB2312" w:cs="FangSong_GB2312"/>
          <w:sz w:val="30"/>
          <w:szCs w:val="30"/>
          <w:lang w:val="en-US" w:eastAsia="zh-CN"/>
        </w:rPr>
        <w:t>教育专业类、专业特色</w:t>
      </w:r>
      <w:r>
        <w:rPr>
          <w:rFonts w:hint="eastAsia" w:ascii="FangSong_GB2312" w:hAnsi="FangSong_GB2312" w:cs="FangSong_GB2312"/>
          <w:sz w:val="30"/>
          <w:szCs w:val="30"/>
        </w:rPr>
        <w:t>类、交叉融合类</w:t>
      </w:r>
      <w:r>
        <w:rPr>
          <w:rFonts w:hint="eastAsia" w:ascii="FangSong_GB2312" w:hAnsi="FangSong_GB2312" w:cs="FangSong_GB2312"/>
          <w:sz w:val="30"/>
          <w:szCs w:val="30"/>
          <w:lang w:val="en-US" w:eastAsia="zh-CN"/>
        </w:rPr>
        <w:t>四</w:t>
      </w:r>
      <w:r>
        <w:rPr>
          <w:rFonts w:hint="eastAsia" w:ascii="FangSong_GB2312" w:hAnsi="FangSong_GB2312" w:cs="FangSong_GB2312"/>
          <w:sz w:val="30"/>
          <w:szCs w:val="30"/>
        </w:rPr>
        <w:t>类；补修课程为跨学科、跨专业和同等学力考入的研究生所必须补修的所攻读学科本科专干课程。</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（一）公共必修课 （</w:t>
      </w:r>
      <w:r>
        <w:rPr>
          <w:rFonts w:hint="eastAsia" w:ascii="FangSong_GB2312" w:hAnsi="FangSong_GB2312" w:cs="FangSong_GB2312"/>
          <w:sz w:val="30"/>
          <w:szCs w:val="30"/>
          <w:lang w:val="en-US" w:eastAsia="zh-CN"/>
        </w:rPr>
        <w:t>6</w:t>
      </w:r>
      <w:r>
        <w:rPr>
          <w:rFonts w:hint="eastAsia" w:ascii="FangSong_GB2312" w:hAnsi="FangSong_GB2312" w:cs="FangSong_GB2312"/>
          <w:sz w:val="30"/>
          <w:szCs w:val="30"/>
        </w:rPr>
        <w:t>学分）</w:t>
      </w:r>
    </w:p>
    <w:p>
      <w:pPr>
        <w:spacing w:line="540" w:lineRule="exact"/>
        <w:ind w:firstLine="600" w:firstLineChars="200"/>
        <w:jc w:val="left"/>
        <w:rPr>
          <w:rFonts w:hint="eastAsia" w:ascii="FangSong_GB2312" w:hAnsi="FangSong_GB2312" w:cs="FangSong_GB2312"/>
          <w:sz w:val="30"/>
          <w:szCs w:val="30"/>
        </w:rPr>
      </w:pPr>
      <w:r>
        <w:rPr>
          <w:rFonts w:hint="eastAsia" w:ascii="FangSong_GB2312" w:hAnsi="FangSong_GB2312" w:cs="FangSong_GB2312"/>
          <w:sz w:val="30"/>
          <w:szCs w:val="30"/>
        </w:rPr>
        <w:t>1.新时代中国特色社会主义理论与实践研究（2学分）</w:t>
      </w:r>
    </w:p>
    <w:p>
      <w:pPr>
        <w:spacing w:line="540" w:lineRule="exact"/>
        <w:ind w:firstLine="600" w:firstLineChars="200"/>
        <w:jc w:val="left"/>
        <w:rPr>
          <w:rFonts w:hint="eastAsia" w:ascii="FangSong_GB2312" w:hAnsi="FangSong_GB2312" w:cs="FangSong_GB2312"/>
          <w:sz w:val="30"/>
          <w:szCs w:val="30"/>
        </w:rPr>
      </w:pPr>
      <w:r>
        <w:rPr>
          <w:rFonts w:hint="eastAsia" w:ascii="FangSong_GB2312" w:hAnsi="FangSong_GB2312" w:cs="FangSong_GB2312"/>
          <w:sz w:val="30"/>
          <w:szCs w:val="30"/>
        </w:rPr>
        <w:t>2.马克思主义与社会科学方法论（1学分）</w:t>
      </w:r>
    </w:p>
    <w:p>
      <w:pPr>
        <w:spacing w:line="540" w:lineRule="exact"/>
        <w:ind w:firstLine="600" w:firstLineChars="200"/>
        <w:jc w:val="left"/>
        <w:rPr>
          <w:rFonts w:hint="eastAsia" w:ascii="FangSong_GB2312" w:hAnsi="FangSong_GB2312" w:cs="FangSong_GB2312"/>
          <w:sz w:val="30"/>
          <w:szCs w:val="30"/>
          <w:lang w:val="en-US" w:eastAsia="zh-CN"/>
        </w:rPr>
      </w:pPr>
      <w:r>
        <w:rPr>
          <w:rFonts w:hint="eastAsia" w:ascii="FangSong_GB2312" w:hAnsi="FangSong_GB2312" w:cs="FangSong_GB2312"/>
          <w:sz w:val="30"/>
          <w:szCs w:val="30"/>
          <w:lang w:val="en-US" w:eastAsia="zh-CN"/>
        </w:rPr>
        <w:t>3.</w:t>
      </w:r>
      <w:r>
        <w:rPr>
          <w:rFonts w:hint="eastAsia" w:ascii="FangSong_GB2312" w:hAnsi="FangSong_GB2312" w:cs="FangSong_GB2312"/>
          <w:sz w:val="30"/>
          <w:szCs w:val="30"/>
        </w:rPr>
        <w:t>习近平总书记关于教育的重要论述研究</w:t>
      </w:r>
      <w:r>
        <w:rPr>
          <w:rFonts w:hint="eastAsia" w:ascii="FangSong_GB2312" w:hAnsi="FangSong_GB2312" w:cs="FangSong_GB2312"/>
          <w:sz w:val="30"/>
          <w:szCs w:val="30"/>
          <w:lang w:eastAsia="zh-CN"/>
        </w:rPr>
        <w:t>（</w:t>
      </w:r>
      <w:r>
        <w:rPr>
          <w:rFonts w:hint="eastAsia" w:ascii="FangSong_GB2312" w:hAnsi="FangSong_GB2312" w:cs="FangSong_GB2312"/>
          <w:sz w:val="30"/>
          <w:szCs w:val="30"/>
          <w:lang w:val="en-US" w:eastAsia="zh-CN"/>
        </w:rPr>
        <w:t>1学分</w:t>
      </w:r>
      <w:r>
        <w:rPr>
          <w:rFonts w:hint="eastAsia" w:ascii="FangSong_GB2312" w:hAnsi="FangSong_GB2312" w:cs="FangSong_GB2312"/>
          <w:sz w:val="30"/>
          <w:szCs w:val="30"/>
          <w:lang w:eastAsia="zh-CN"/>
        </w:rPr>
        <w:t>）</w:t>
      </w:r>
    </w:p>
    <w:p>
      <w:pPr>
        <w:spacing w:line="540" w:lineRule="exact"/>
        <w:ind w:firstLine="600" w:firstLineChars="200"/>
        <w:jc w:val="left"/>
        <w:rPr>
          <w:rFonts w:hint="eastAsia" w:ascii="FangSong_GB2312" w:hAnsi="FangSong_GB2312" w:cs="FangSong_GB2312"/>
          <w:sz w:val="30"/>
          <w:szCs w:val="30"/>
        </w:rPr>
      </w:pPr>
      <w:r>
        <w:rPr>
          <w:rFonts w:hint="eastAsia" w:ascii="FangSong_GB2312" w:hAnsi="FangSong_GB2312" w:cs="FangSong_GB2312"/>
          <w:sz w:val="30"/>
          <w:szCs w:val="30"/>
        </w:rPr>
        <w:t>3.研究生综合英语（2学分）</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（二）</w:t>
      </w:r>
      <w:r>
        <w:rPr>
          <w:rFonts w:hint="eastAsia" w:ascii="FangSong_GB2312" w:hAnsi="FangSong_GB2312" w:cs="FangSong_GB2312"/>
          <w:sz w:val="30"/>
          <w:szCs w:val="30"/>
          <w:lang w:val="en-US" w:eastAsia="zh-CN"/>
        </w:rPr>
        <w:t>学位</w:t>
      </w:r>
      <w:r>
        <w:rPr>
          <w:rFonts w:hint="eastAsia" w:ascii="FangSong_GB2312" w:hAnsi="FangSong_GB2312" w:cs="FangSong_GB2312"/>
          <w:sz w:val="30"/>
          <w:szCs w:val="30"/>
        </w:rPr>
        <w:t>基础课（</w:t>
      </w:r>
      <w:r>
        <w:rPr>
          <w:rFonts w:ascii="FangSong_GB2312" w:hAnsi="FangSong_GB2312" w:cs="FangSong_GB2312"/>
          <w:sz w:val="30"/>
          <w:szCs w:val="30"/>
        </w:rPr>
        <w:t>9</w:t>
      </w:r>
      <w:r>
        <w:rPr>
          <w:rFonts w:hint="eastAsia" w:ascii="FangSong_GB2312" w:hAnsi="FangSong_GB2312" w:cs="FangSong_GB2312"/>
          <w:sz w:val="30"/>
          <w:szCs w:val="30"/>
        </w:rPr>
        <w:t>学分）</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1.教育原理（2学分）</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2.课程与教学论（2学分）</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3.教育研究方法（2学分）</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4.青少年心理发展与教育（2学分）</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5.论文写作与学术规范（1学分）</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（三）</w:t>
      </w:r>
      <w:r>
        <w:rPr>
          <w:rFonts w:hint="eastAsia" w:ascii="FangSong_GB2312" w:hAnsi="FangSong_GB2312" w:cs="FangSong_GB2312"/>
          <w:sz w:val="30"/>
          <w:szCs w:val="30"/>
          <w:lang w:val="en-US" w:eastAsia="zh-CN"/>
        </w:rPr>
        <w:t>专业</w:t>
      </w:r>
      <w:r>
        <w:rPr>
          <w:rFonts w:hint="eastAsia" w:ascii="FangSong_GB2312" w:hAnsi="FangSong_GB2312" w:cs="FangSong_GB2312"/>
          <w:sz w:val="30"/>
          <w:szCs w:val="30"/>
        </w:rPr>
        <w:t>必修课（</w:t>
      </w:r>
      <w:r>
        <w:rPr>
          <w:rFonts w:hint="eastAsia" w:ascii="FangSong_GB2312" w:hAnsi="FangSong_GB2312" w:cs="FangSong_GB2312"/>
          <w:sz w:val="30"/>
          <w:szCs w:val="30"/>
          <w:lang w:val="en-US" w:eastAsia="zh-CN"/>
        </w:rPr>
        <w:t>8</w:t>
      </w:r>
      <w:r>
        <w:rPr>
          <w:rFonts w:hint="eastAsia" w:ascii="FangSong_GB2312" w:hAnsi="FangSong_GB2312" w:cs="FangSong_GB2312"/>
          <w:sz w:val="30"/>
          <w:szCs w:val="30"/>
        </w:rPr>
        <w:t>学分）</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1.语文课程与教材研究（2学分）</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2.语文教学设计与实施研究（2学分）</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3.</w:t>
      </w:r>
      <w:bookmarkStart w:id="0" w:name="OLE_LINK2"/>
      <w:r>
        <w:rPr>
          <w:rFonts w:hint="eastAsia" w:ascii="FangSong_GB2312" w:hAnsi="FangSong_GB2312" w:cs="FangSong_GB2312"/>
          <w:sz w:val="30"/>
          <w:szCs w:val="30"/>
        </w:rPr>
        <w:t>语文学科</w:t>
      </w:r>
      <w:bookmarkEnd w:id="0"/>
      <w:r>
        <w:rPr>
          <w:rFonts w:hint="eastAsia" w:ascii="FangSong_GB2312" w:hAnsi="FangSong_GB2312" w:cs="FangSong_GB2312"/>
          <w:sz w:val="30"/>
          <w:szCs w:val="30"/>
        </w:rPr>
        <w:t>测量与评价（2学分）</w:t>
      </w:r>
    </w:p>
    <w:p>
      <w:pPr>
        <w:spacing w:line="540" w:lineRule="exact"/>
        <w:ind w:right="-19" w:rightChars="-6" w:firstLine="600" w:firstLineChars="200"/>
        <w:rPr>
          <w:rFonts w:ascii="FangSong_GB2312" w:hAnsi="FangSong_GB2312" w:cs="FangSong_GB2312"/>
          <w:sz w:val="30"/>
          <w:szCs w:val="30"/>
        </w:rPr>
      </w:pPr>
      <w:r>
        <w:rPr>
          <w:rFonts w:ascii="FangSong_GB2312" w:hAnsi="FangSong_GB2312" w:cs="FangSong_GB2312"/>
          <w:sz w:val="30"/>
          <w:szCs w:val="30"/>
        </w:rPr>
        <w:t>4</w:t>
      </w:r>
      <w:r>
        <w:rPr>
          <w:rFonts w:hint="eastAsia" w:ascii="FangSong_GB2312" w:hAnsi="FangSong_GB2312" w:cs="FangSong_GB2312"/>
          <w:sz w:val="30"/>
          <w:szCs w:val="30"/>
        </w:rPr>
        <w:t>.语文</w:t>
      </w:r>
      <w:r>
        <w:rPr>
          <w:rFonts w:hint="eastAsia" w:ascii="FangSong_GB2312" w:hAnsi="FangSong_GB2312" w:cs="FangSong_GB2312"/>
          <w:sz w:val="30"/>
          <w:szCs w:val="30"/>
          <w:lang w:val="en-US" w:eastAsia="zh-CN"/>
        </w:rPr>
        <w:t>学科基础与前沿问题</w:t>
      </w:r>
      <w:r>
        <w:rPr>
          <w:rFonts w:hint="eastAsia" w:ascii="FangSong_GB2312" w:hAnsi="FangSong_GB2312" w:cs="FangSong_GB2312"/>
          <w:sz w:val="30"/>
          <w:szCs w:val="30"/>
        </w:rPr>
        <w:t>（2学分）</w:t>
      </w:r>
    </w:p>
    <w:p>
      <w:pPr>
        <w:spacing w:line="540" w:lineRule="exact"/>
        <w:ind w:firstLine="600" w:firstLineChars="200"/>
        <w:jc w:val="left"/>
        <w:rPr>
          <w:rFonts w:ascii="FangSong_GB2312" w:hAnsi="FangSong_GB2312" w:cs="FangSong_GB2312"/>
          <w:color w:val="auto"/>
          <w:sz w:val="30"/>
          <w:szCs w:val="30"/>
        </w:rPr>
      </w:pPr>
      <w:r>
        <w:rPr>
          <w:rFonts w:hint="eastAsia" w:ascii="FangSong_GB2312" w:hAnsi="FangSong_GB2312" w:cs="FangSong_GB2312"/>
          <w:color w:val="auto"/>
          <w:sz w:val="30"/>
          <w:szCs w:val="30"/>
        </w:rPr>
        <w:t>（四）选修课</w:t>
      </w:r>
      <w:r>
        <w:rPr>
          <w:rFonts w:hint="eastAsia" w:ascii="FangSong_GB2312" w:hAnsi="FangSong_GB2312" w:cs="FangSong_GB2312"/>
          <w:color w:val="auto"/>
          <w:sz w:val="30"/>
          <w:szCs w:val="30"/>
          <w:lang w:val="en-US" w:eastAsia="zh-CN"/>
        </w:rPr>
        <w:t>程</w:t>
      </w:r>
      <w:r>
        <w:rPr>
          <w:rFonts w:hint="eastAsia" w:ascii="FangSong_GB2312" w:hAnsi="FangSong_GB2312" w:cs="FangSong_GB2312"/>
          <w:color w:val="auto"/>
          <w:sz w:val="30"/>
          <w:szCs w:val="30"/>
        </w:rPr>
        <w:t xml:space="preserve"> </w:t>
      </w:r>
      <w:r>
        <w:rPr>
          <w:rFonts w:hint="eastAsia" w:ascii="FangSong_GB2312" w:hAnsi="FangSong_GB2312" w:cs="FangSong_GB2312"/>
          <w:color w:val="auto"/>
          <w:sz w:val="30"/>
          <w:szCs w:val="30"/>
          <w:u w:val="none"/>
        </w:rPr>
        <w:t>（选修课不低于8学分</w:t>
      </w:r>
      <w:r>
        <w:rPr>
          <w:rFonts w:hint="eastAsia" w:ascii="FangSong_GB2312" w:hAnsi="FangSong_GB2312" w:cs="FangSong_GB2312"/>
          <w:color w:val="auto"/>
          <w:sz w:val="30"/>
          <w:szCs w:val="30"/>
          <w:u w:val="none"/>
          <w:lang w:eastAsia="zh-CN"/>
        </w:rPr>
        <w:t>，</w:t>
      </w:r>
      <w:r>
        <w:rPr>
          <w:rFonts w:hint="eastAsia" w:ascii="FangSong_GB2312" w:hAnsi="FangSong_GB2312" w:cs="FangSong_GB2312"/>
          <w:color w:val="auto"/>
          <w:sz w:val="30"/>
          <w:szCs w:val="30"/>
          <w:u w:val="none"/>
        </w:rPr>
        <w:t>4个模块，每个模块至少须修满1学分）</w:t>
      </w:r>
    </w:p>
    <w:p>
      <w:pPr>
        <w:spacing w:line="540" w:lineRule="exact"/>
        <w:ind w:right="-19" w:rightChars="-6" w:firstLine="600" w:firstLineChars="200"/>
        <w:rPr>
          <w:rFonts w:hint="eastAsia" w:ascii="FangSong_GB2312" w:hAnsi="FangSong_GB2312" w:cs="FangSong_GB2312"/>
          <w:color w:val="auto"/>
          <w:sz w:val="30"/>
          <w:szCs w:val="30"/>
          <w:lang w:eastAsia="zh-CN"/>
        </w:rPr>
      </w:pPr>
      <w:r>
        <w:rPr>
          <w:rFonts w:hint="eastAsia" w:ascii="FangSong_GB2312" w:hAnsi="FangSong_GB2312" w:cs="FangSong_GB2312"/>
          <w:color w:val="auto"/>
          <w:sz w:val="30"/>
          <w:szCs w:val="30"/>
          <w:lang w:val="en-US" w:eastAsia="zh-CN"/>
        </w:rPr>
        <w:t>学科</w:t>
      </w:r>
      <w:r>
        <w:rPr>
          <w:rFonts w:hint="eastAsia" w:ascii="FangSong_GB2312" w:hAnsi="FangSong_GB2312" w:cs="FangSong_GB2312"/>
          <w:color w:val="auto"/>
          <w:sz w:val="30"/>
          <w:szCs w:val="30"/>
        </w:rPr>
        <w:t>素</w:t>
      </w:r>
      <w:r>
        <w:rPr>
          <w:rFonts w:hint="eastAsia" w:ascii="FangSong_GB2312" w:hAnsi="FangSong_GB2312" w:cs="FangSong_GB2312"/>
          <w:color w:val="auto"/>
          <w:sz w:val="30"/>
          <w:szCs w:val="30"/>
          <w:lang w:val="en-US" w:eastAsia="zh-CN"/>
        </w:rPr>
        <w:t>养</w:t>
      </w:r>
      <w:r>
        <w:rPr>
          <w:rFonts w:hint="eastAsia" w:ascii="FangSong_GB2312" w:hAnsi="FangSong_GB2312" w:cs="FangSong_GB2312"/>
          <w:color w:val="auto"/>
          <w:sz w:val="30"/>
          <w:szCs w:val="30"/>
        </w:rPr>
        <w:t>类：中国古代文学专题、中国古代文学思想专题、</w:t>
      </w:r>
      <w:r>
        <w:rPr>
          <w:rFonts w:hint="eastAsia" w:ascii="FangSong_GB2312" w:hAnsi="FangSong_GB2312" w:cs="FangSong_GB2312"/>
          <w:color w:val="auto"/>
          <w:sz w:val="30"/>
          <w:szCs w:val="30"/>
          <w:lang w:val="en-US" w:eastAsia="zh-CN"/>
        </w:rPr>
        <w:t>汉字学八讲、语言分析与文本解读、语文朗读与朗读教学、语文教学与文学解读；</w:t>
      </w:r>
    </w:p>
    <w:p>
      <w:pPr>
        <w:spacing w:line="240" w:lineRule="auto"/>
        <w:ind w:right="-19" w:rightChars="-6" w:firstLine="600" w:firstLineChars="200"/>
        <w:rPr>
          <w:rFonts w:hint="eastAsia" w:ascii="FangSong_GB2312" w:hAnsi="FangSong_GB2312" w:cs="FangSong_GB2312"/>
          <w:color w:val="auto"/>
          <w:sz w:val="30"/>
          <w:szCs w:val="30"/>
          <w:lang w:val="en-US" w:eastAsia="zh-CN"/>
        </w:rPr>
      </w:pPr>
      <w:r>
        <w:rPr>
          <w:rFonts w:hint="eastAsia" w:ascii="FangSong_GB2312" w:hAnsi="FangSong_GB2312" w:cs="FangSong_GB2312"/>
          <w:color w:val="auto"/>
          <w:sz w:val="30"/>
          <w:szCs w:val="30"/>
        </w:rPr>
        <w:t>2.</w:t>
      </w:r>
      <w:r>
        <w:rPr>
          <w:rFonts w:hint="eastAsia" w:ascii="FangSong_GB2312" w:hAnsi="FangSong_GB2312" w:cs="FangSong_GB2312"/>
          <w:color w:val="auto"/>
          <w:sz w:val="30"/>
          <w:szCs w:val="30"/>
          <w:lang w:val="en-US" w:eastAsia="zh-CN"/>
        </w:rPr>
        <w:t>教育专业</w:t>
      </w:r>
      <w:r>
        <w:rPr>
          <w:rFonts w:hint="eastAsia" w:ascii="FangSong_GB2312" w:hAnsi="FangSong_GB2312" w:cs="FangSong_GB2312"/>
          <w:color w:val="auto"/>
          <w:sz w:val="30"/>
          <w:szCs w:val="30"/>
        </w:rPr>
        <w:t>类：</w:t>
      </w:r>
      <w:r>
        <w:rPr>
          <w:rFonts w:hint="eastAsia" w:ascii="FangSong_GB2312" w:hAnsi="FangSong_GB2312" w:cs="FangSong_GB2312"/>
          <w:color w:val="auto"/>
          <w:sz w:val="30"/>
          <w:szCs w:val="30"/>
          <w:lang w:val="en-US" w:eastAsia="zh-CN"/>
        </w:rPr>
        <w:t>语文教育心理学（限选）</w:t>
      </w:r>
      <w:r>
        <w:rPr>
          <w:rFonts w:hint="eastAsia" w:ascii="FangSong_GB2312" w:hAnsi="FangSong_GB2312" w:cs="FangSong_GB2312"/>
          <w:color w:val="auto"/>
          <w:sz w:val="30"/>
          <w:szCs w:val="30"/>
        </w:rPr>
        <w:t>、语文学习心理学、现代多媒体运用与课文导读设计、</w:t>
      </w:r>
      <w:r>
        <w:rPr>
          <w:rFonts w:hint="eastAsia" w:ascii="FangSong_GB2312" w:hAnsi="FangSong_GB2312" w:cs="FangSong_GB2312"/>
          <w:color w:val="auto"/>
          <w:sz w:val="30"/>
          <w:szCs w:val="30"/>
          <w:lang w:val="en-US" w:eastAsia="zh-CN"/>
        </w:rPr>
        <w:t>人文统计分析方法、问卷调查研究法</w:t>
      </w:r>
    </w:p>
    <w:p>
      <w:pPr>
        <w:spacing w:line="240" w:lineRule="auto"/>
        <w:ind w:right="-19" w:rightChars="-6" w:firstLine="600" w:firstLineChars="200"/>
        <w:rPr>
          <w:rFonts w:hint="default" w:ascii="FangSong_GB2312" w:hAnsi="FangSong_GB2312" w:cs="FangSong_GB2312"/>
          <w:color w:val="auto"/>
          <w:sz w:val="30"/>
          <w:szCs w:val="30"/>
          <w:lang w:val="en-US" w:eastAsia="zh-CN"/>
        </w:rPr>
      </w:pPr>
      <w:r>
        <w:rPr>
          <w:rFonts w:hint="eastAsia" w:ascii="FangSong_GB2312" w:hAnsi="FangSong_GB2312" w:cs="FangSong_GB2312"/>
          <w:color w:val="auto"/>
          <w:sz w:val="30"/>
          <w:szCs w:val="30"/>
          <w:lang w:val="en-US" w:eastAsia="zh-CN"/>
        </w:rPr>
        <w:t>3.专业特色类：《儒林外史》整本书阅读研究、训诂学与语文教学、</w:t>
      </w:r>
      <w:r>
        <w:rPr>
          <w:rFonts w:hint="default" w:ascii="FangSong_GB2312" w:hAnsi="FangSong_GB2312" w:cs="FangSong_GB2312"/>
          <w:color w:val="auto"/>
          <w:sz w:val="30"/>
          <w:szCs w:val="30"/>
          <w:lang w:val="en-US" w:eastAsia="zh-CN"/>
        </w:rPr>
        <w:t>儿童文学、绘本研究</w:t>
      </w:r>
    </w:p>
    <w:p>
      <w:pPr>
        <w:spacing w:line="540" w:lineRule="exact"/>
        <w:ind w:right="-19" w:rightChars="-6" w:firstLine="600" w:firstLineChars="200"/>
        <w:rPr>
          <w:rFonts w:hint="eastAsia" w:ascii="FangSong_GB2312" w:hAnsi="FangSong_GB2312" w:eastAsia="FangSong_GB2312" w:cs="FangSong_GB2312"/>
          <w:color w:val="auto"/>
          <w:sz w:val="30"/>
          <w:szCs w:val="30"/>
          <w:lang w:eastAsia="zh-CN"/>
        </w:rPr>
      </w:pPr>
      <w:r>
        <w:rPr>
          <w:rFonts w:hint="eastAsia" w:ascii="FangSong_GB2312" w:hAnsi="FangSong_GB2312" w:cs="FangSong_GB2312"/>
          <w:color w:val="auto"/>
          <w:sz w:val="30"/>
          <w:szCs w:val="30"/>
          <w:lang w:val="en-US" w:eastAsia="zh-CN"/>
        </w:rPr>
        <w:t>4</w:t>
      </w:r>
      <w:r>
        <w:rPr>
          <w:rFonts w:hint="eastAsia" w:ascii="FangSong_GB2312" w:hAnsi="FangSong_GB2312" w:cs="FangSong_GB2312"/>
          <w:color w:val="auto"/>
          <w:sz w:val="30"/>
          <w:szCs w:val="30"/>
        </w:rPr>
        <w:t>.交叉融合类：</w:t>
      </w:r>
      <w:r>
        <w:rPr>
          <w:rFonts w:hint="eastAsia" w:ascii="FangSong_GB2312" w:hAnsi="FangSong_GB2312" w:cs="FangSong_GB2312"/>
          <w:color w:val="auto"/>
          <w:sz w:val="30"/>
          <w:szCs w:val="30"/>
          <w:lang w:val="en-US" w:eastAsia="zh-CN"/>
        </w:rPr>
        <w:t>人工智能（文史）（限选）、古代文学作品研读与语文教学、叙事学与诗学理论与语文教学、</w:t>
      </w:r>
      <w:r>
        <w:rPr>
          <w:rFonts w:hint="eastAsia" w:ascii="FangSong_GB2312" w:hAnsi="FangSong_GB2312" w:cs="FangSong_GB2312"/>
          <w:color w:val="auto"/>
          <w:sz w:val="30"/>
          <w:szCs w:val="30"/>
        </w:rPr>
        <w:t>中学语文教材中的古代文学研究方法、语文教师的诗学素养、语言文字规范与语文教育</w:t>
      </w:r>
      <w:r>
        <w:rPr>
          <w:rFonts w:hint="eastAsia" w:ascii="FangSong_GB2312" w:hAnsi="FangSong_GB2312" w:cs="FangSong_GB2312"/>
          <w:color w:val="auto"/>
          <w:sz w:val="30"/>
          <w:szCs w:val="30"/>
          <w:lang w:eastAsia="zh-CN"/>
        </w:rPr>
        <w:t>。</w:t>
      </w:r>
    </w:p>
    <w:p>
      <w:pPr>
        <w:spacing w:line="540" w:lineRule="exact"/>
        <w:ind w:left="640" w:right="-19" w:rightChars="-6"/>
        <w:rPr>
          <w:rFonts w:ascii="FangSong_GB2312" w:hAnsi="FangSong_GB2312" w:cs="FangSong_GB2312"/>
          <w:color w:val="auto"/>
          <w:sz w:val="30"/>
          <w:szCs w:val="30"/>
        </w:rPr>
      </w:pPr>
      <w:r>
        <w:rPr>
          <w:rFonts w:hint="eastAsia" w:ascii="FangSong_GB2312" w:hAnsi="FangSong_GB2312" w:cs="FangSong_GB2312"/>
          <w:color w:val="auto"/>
          <w:sz w:val="30"/>
          <w:szCs w:val="30"/>
        </w:rPr>
        <w:t>（五）补修课程</w:t>
      </w:r>
    </w:p>
    <w:p>
      <w:pPr>
        <w:spacing w:line="540" w:lineRule="exact"/>
        <w:ind w:right="-19" w:rightChars="-6" w:firstLine="600" w:firstLineChars="200"/>
        <w:rPr>
          <w:rFonts w:ascii="FangSong_GB2312" w:hAnsi="FangSong_GB2312" w:cs="FangSong_GB2312"/>
          <w:color w:val="auto"/>
          <w:sz w:val="30"/>
          <w:szCs w:val="30"/>
        </w:rPr>
      </w:pPr>
      <w:r>
        <w:rPr>
          <w:rFonts w:hint="eastAsia" w:ascii="FangSong_GB2312" w:hAnsi="FangSong_GB2312" w:cs="FangSong_GB2312"/>
          <w:color w:val="auto"/>
          <w:sz w:val="30"/>
          <w:szCs w:val="30"/>
        </w:rPr>
        <w:t>跨学科、专业或同等学力考入的研究生，须补修</w:t>
      </w:r>
      <w:r>
        <w:rPr>
          <w:rFonts w:hint="eastAsia" w:ascii="FangSong_GB2312" w:hAnsi="FangSong_GB2312" w:cs="FangSong_GB2312"/>
          <w:color w:val="auto"/>
          <w:sz w:val="30"/>
          <w:szCs w:val="30"/>
          <w:lang w:eastAsia="zh-CN"/>
        </w:rPr>
        <w:t>“</w:t>
      </w:r>
      <w:r>
        <w:rPr>
          <w:rFonts w:hint="eastAsia" w:ascii="FangSong_GB2312" w:hAnsi="FangSong_GB2312" w:cs="FangSong_GB2312"/>
          <w:color w:val="auto"/>
          <w:sz w:val="30"/>
          <w:szCs w:val="30"/>
        </w:rPr>
        <w:t>语文课程与教学论</w:t>
      </w:r>
      <w:r>
        <w:rPr>
          <w:rFonts w:hint="eastAsia" w:ascii="FangSong_GB2312" w:hAnsi="FangSong_GB2312" w:cs="FangSong_GB2312"/>
          <w:color w:val="auto"/>
          <w:sz w:val="30"/>
          <w:szCs w:val="30"/>
          <w:lang w:eastAsia="zh-CN"/>
        </w:rPr>
        <w:t>（</w:t>
      </w:r>
      <w:r>
        <w:rPr>
          <w:rFonts w:hint="eastAsia" w:ascii="FangSong_GB2312" w:hAnsi="FangSong_GB2312" w:cs="FangSong_GB2312"/>
          <w:color w:val="auto"/>
          <w:sz w:val="30"/>
          <w:szCs w:val="30"/>
          <w:lang w:val="en-US" w:eastAsia="zh-CN"/>
        </w:rPr>
        <w:t>含课程标准解读</w:t>
      </w:r>
      <w:r>
        <w:rPr>
          <w:rFonts w:hint="eastAsia" w:ascii="FangSong_GB2312" w:hAnsi="FangSong_GB2312" w:cs="FangSong_GB2312"/>
          <w:color w:val="auto"/>
          <w:sz w:val="30"/>
          <w:szCs w:val="30"/>
          <w:lang w:eastAsia="zh-CN"/>
        </w:rPr>
        <w:t>）”、“</w:t>
      </w:r>
      <w:r>
        <w:rPr>
          <w:rFonts w:hint="eastAsia" w:ascii="FangSong_GB2312" w:hAnsi="FangSong_GB2312" w:cs="FangSong_GB2312"/>
          <w:color w:val="auto"/>
          <w:sz w:val="30"/>
          <w:szCs w:val="30"/>
          <w:lang w:val="en-US" w:eastAsia="zh-CN"/>
        </w:rPr>
        <w:t>教育学原理</w:t>
      </w:r>
      <w:r>
        <w:rPr>
          <w:rFonts w:hint="eastAsia" w:ascii="FangSong_GB2312" w:hAnsi="FangSong_GB2312" w:cs="FangSong_GB2312"/>
          <w:color w:val="auto"/>
          <w:sz w:val="30"/>
          <w:szCs w:val="30"/>
          <w:lang w:eastAsia="zh-CN"/>
        </w:rPr>
        <w:t>”</w:t>
      </w:r>
      <w:r>
        <w:rPr>
          <w:rFonts w:hint="eastAsia" w:ascii="FangSong_GB2312" w:hAnsi="FangSong_GB2312" w:cs="FangSong_GB2312"/>
          <w:color w:val="auto"/>
          <w:sz w:val="30"/>
          <w:szCs w:val="30"/>
          <w:lang w:val="en-US" w:eastAsia="zh-CN"/>
        </w:rPr>
        <w:t>2</w:t>
      </w:r>
      <w:r>
        <w:rPr>
          <w:rFonts w:hint="eastAsia" w:ascii="FangSong_GB2312" w:hAnsi="FangSong_GB2312" w:cs="FangSong_GB2312"/>
          <w:color w:val="auto"/>
          <w:sz w:val="30"/>
          <w:szCs w:val="30"/>
        </w:rPr>
        <w:t>门课程。随本科师范生学习，不计学分。</w:t>
      </w:r>
    </w:p>
    <w:p>
      <w:pPr>
        <w:spacing w:line="540" w:lineRule="exact"/>
        <w:ind w:left="640" w:right="-19" w:rightChars="-6"/>
        <w:rPr>
          <w:rFonts w:ascii="黑体" w:hAnsi="黑体" w:eastAsia="黑体"/>
          <w:color w:val="auto"/>
        </w:rPr>
      </w:pPr>
      <w:r>
        <w:rPr>
          <w:rFonts w:hint="eastAsia" w:ascii="黑体" w:hAnsi="黑体" w:eastAsia="黑体"/>
          <w:color w:val="auto"/>
        </w:rPr>
        <w:t>八、课程设计要求</w:t>
      </w:r>
    </w:p>
    <w:p>
      <w:pPr>
        <w:spacing w:line="540" w:lineRule="exact"/>
        <w:ind w:firstLine="600" w:firstLineChars="200"/>
        <w:rPr>
          <w:rFonts w:ascii="FangSong_GB2312" w:hAnsi="FangSong_GB2312" w:cs="FangSong_GB2312"/>
          <w:color w:val="auto"/>
          <w:sz w:val="30"/>
          <w:szCs w:val="30"/>
        </w:rPr>
      </w:pPr>
      <w:r>
        <w:rPr>
          <w:rFonts w:hint="eastAsia" w:ascii="FangSong_GB2312" w:hAnsi="FangSong_GB2312" w:cs="FangSong_GB2312"/>
          <w:color w:val="auto"/>
          <w:sz w:val="30"/>
          <w:szCs w:val="30"/>
        </w:rPr>
        <w:t>课程教学内容应与课程思政有机融合，并密切结合经济社会发展需求和行业实际应用，体现前沿性和实用性。及时将语文教学前沿发展动态，引入课题教学。</w:t>
      </w:r>
    </w:p>
    <w:p>
      <w:pPr>
        <w:overflowPunct w:val="0"/>
        <w:adjustRightInd w:val="0"/>
        <w:snapToGrid w:val="0"/>
        <w:spacing w:line="540" w:lineRule="exact"/>
        <w:ind w:firstLine="600" w:firstLineChars="200"/>
        <w:rPr>
          <w:rFonts w:ascii="FangSong_GB2312" w:hAnsi="FangSong_GB2312" w:cs="FangSong_GB2312"/>
          <w:color w:val="auto"/>
          <w:sz w:val="30"/>
          <w:szCs w:val="30"/>
        </w:rPr>
      </w:pPr>
      <w:r>
        <w:rPr>
          <w:rFonts w:hint="eastAsia" w:ascii="FangSong_GB2312" w:hAnsi="FangSong_GB2312" w:cs="FangSong_GB2312"/>
          <w:color w:val="auto"/>
          <w:sz w:val="30"/>
          <w:szCs w:val="30"/>
        </w:rPr>
        <w:t>1.课程内容体现前沿性和前瞻性，兼顾学科交叉与融合，注重引进先进课程资源和师资，结合讲座式课程与线上线下混合式课程，逐步建设高水平课程。</w:t>
      </w:r>
    </w:p>
    <w:p>
      <w:pPr>
        <w:overflowPunct w:val="0"/>
        <w:adjustRightInd w:val="0"/>
        <w:snapToGrid w:val="0"/>
        <w:spacing w:line="540" w:lineRule="exact"/>
        <w:ind w:firstLine="600" w:firstLineChars="200"/>
        <w:rPr>
          <w:rFonts w:ascii="FangSong_GB2312" w:hAnsi="FangSong_GB2312" w:cs="FangSong_GB2312"/>
          <w:color w:val="auto"/>
          <w:sz w:val="30"/>
          <w:szCs w:val="30"/>
        </w:rPr>
      </w:pPr>
      <w:r>
        <w:rPr>
          <w:rFonts w:hint="eastAsia" w:ascii="FangSong_GB2312" w:hAnsi="FangSong_GB2312" w:cs="FangSong_GB2312"/>
          <w:color w:val="auto"/>
          <w:sz w:val="30"/>
          <w:szCs w:val="30"/>
        </w:rPr>
        <w:t>2.交叉学科的课程设置体现语文教学的培养目标和要求，发挥各学科教师的优势与特长，构建复合型人才培养的课程体系。</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color w:val="auto"/>
          <w:sz w:val="30"/>
          <w:szCs w:val="30"/>
        </w:rPr>
        <w:t>3.注重案例教学的使用与开发建设，与一线教师建立共享课程资源，教学方式以参与式教学、研讨式教学、体验式</w:t>
      </w:r>
      <w:r>
        <w:rPr>
          <w:rFonts w:hint="eastAsia" w:ascii="FangSong_GB2312" w:hAnsi="FangSong_GB2312" w:cs="FangSong_GB2312"/>
          <w:sz w:val="30"/>
          <w:szCs w:val="30"/>
        </w:rPr>
        <w:t>教学为主。</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sz w:val="30"/>
          <w:szCs w:val="30"/>
        </w:rPr>
        <w:t>4.遵循教学的教育性规律，结合课程性质、教学内容和特点，开展“课程思政”教学设计，提炼课程中蕴含的思想、文化和价值等育人因素，有机融入课程教学，充分发挥学科教学中的德育渗透功能，并与思想政治理论课形成协同育人效应。课程思政要落实到课程目标设计、教学大纲制定、教材选用、教案课件各方面，贯穿课程教学的全过程。</w:t>
      </w:r>
    </w:p>
    <w:p>
      <w:pPr>
        <w:spacing w:line="540" w:lineRule="exact"/>
        <w:ind w:left="640" w:right="-19" w:rightChars="-6"/>
        <w:rPr>
          <w:rFonts w:ascii="黑体" w:hAnsi="黑体" w:eastAsia="黑体"/>
        </w:rPr>
      </w:pPr>
      <w:r>
        <w:rPr>
          <w:rFonts w:hint="eastAsia" w:ascii="黑体" w:hAnsi="黑体" w:eastAsia="黑体"/>
        </w:rPr>
        <w:t>九、课程评价</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color w:val="000000"/>
          <w:kern w:val="0"/>
          <w:sz w:val="30"/>
          <w:szCs w:val="30"/>
        </w:rPr>
        <w:t>主要采取形成性评价为主、终结性评价为辅的方式，采用档案袋评价等方式，通过查看课程大纲的制定、教学计划的执行、作业完成情况、试卷内容及评改情况、教学座谈会及调查记录、课程目标达成度分析表等课程与教学档案</w:t>
      </w:r>
      <w:r>
        <w:rPr>
          <w:rStyle w:val="8"/>
          <w:rFonts w:hint="eastAsia" w:ascii="FangSong_GB2312" w:hAnsi="FangSong_GB2312" w:cs="FangSong_GB2312"/>
          <w:sz w:val="30"/>
          <w:szCs w:val="30"/>
        </w:rPr>
        <w:t>，对课程体系和课程目标达成度进行评价。</w:t>
      </w:r>
    </w:p>
    <w:p>
      <w:pPr>
        <w:spacing w:line="540" w:lineRule="exact"/>
        <w:ind w:right="-19" w:rightChars="-6" w:firstLine="640" w:firstLineChars="200"/>
        <w:rPr>
          <w:rFonts w:hint="eastAsia" w:ascii="黑体" w:hAnsi="黑体" w:eastAsia="黑体"/>
          <w:lang w:eastAsia="zh-CN"/>
        </w:rPr>
      </w:pPr>
      <w:r>
        <w:rPr>
          <w:rFonts w:hint="eastAsia" w:ascii="黑体" w:hAnsi="黑体" w:eastAsia="黑体"/>
        </w:rPr>
        <w:t>十、必修环节</w:t>
      </w:r>
      <w:r>
        <w:rPr>
          <w:rFonts w:hint="eastAsia" w:ascii="黑体" w:hAnsi="黑体" w:eastAsia="黑体"/>
          <w:lang w:eastAsia="zh-CN"/>
        </w:rPr>
        <w:t>（</w:t>
      </w:r>
      <w:r>
        <w:rPr>
          <w:rFonts w:hint="eastAsia" w:ascii="黑体" w:hAnsi="黑体" w:eastAsia="黑体"/>
          <w:lang w:val="en-US" w:eastAsia="zh-CN"/>
        </w:rPr>
        <w:t>10学分</w:t>
      </w:r>
      <w:r>
        <w:rPr>
          <w:rFonts w:hint="eastAsia" w:ascii="黑体" w:hAnsi="黑体" w:eastAsia="黑体"/>
          <w:lang w:eastAsia="zh-CN"/>
        </w:rPr>
        <w:t>）</w:t>
      </w:r>
    </w:p>
    <w:p>
      <w:pPr>
        <w:spacing w:line="540" w:lineRule="exact"/>
        <w:ind w:right="-19" w:rightChars="-6" w:firstLine="600" w:firstLineChars="200"/>
        <w:rPr>
          <w:rFonts w:ascii="FangSong_GB2312" w:hAnsi="FangSong_GB2312" w:cs="FangSong_GB2312"/>
          <w:sz w:val="30"/>
          <w:szCs w:val="30"/>
        </w:rPr>
      </w:pPr>
      <w:r>
        <w:rPr>
          <w:rFonts w:hint="eastAsia" w:ascii="FangSong_GB2312" w:hAnsi="FangSong_GB2312" w:cs="FangSong_GB2312"/>
          <w:sz w:val="30"/>
          <w:szCs w:val="30"/>
        </w:rPr>
        <w:t>必修环节是指课程学习之外的文献研读、行业讲座及报告、实践教学和中期考核等必须完成的培养环节，不计学时。</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sz w:val="30"/>
          <w:szCs w:val="30"/>
        </w:rPr>
        <w:t>1.文献研读（1学分）</w:t>
      </w:r>
    </w:p>
    <w:p>
      <w:pPr>
        <w:spacing w:line="540" w:lineRule="exact"/>
        <w:ind w:firstLine="600" w:firstLineChars="200"/>
        <w:rPr>
          <w:rFonts w:ascii="FangSong_GB2312" w:hAnsi="FangSong_GB2312" w:cs="FangSong_GB2312"/>
          <w:color w:val="000000"/>
          <w:sz w:val="30"/>
          <w:szCs w:val="30"/>
          <w:shd w:val="clear" w:color="auto" w:fill="FFFFFF"/>
        </w:rPr>
      </w:pPr>
      <w:r>
        <w:rPr>
          <w:rFonts w:hint="eastAsia" w:ascii="FangSong_GB2312" w:hAnsi="FangSong_GB2312" w:cs="FangSong_GB2312"/>
          <w:sz w:val="30"/>
          <w:szCs w:val="30"/>
        </w:rPr>
        <w:t>学生应完成本专业领域和导师指定的经典必读书目和重要学术期刊、文献专著的研读。导师负责对学生文献研读的指导、检查与考核，可采用参加读书报告会、专题研讨会或提交研读报告等方式进行。本专业领域</w:t>
      </w:r>
      <w:r>
        <w:rPr>
          <w:rFonts w:hint="eastAsia" w:ascii="FangSong_GB2312" w:hAnsi="FangSong_GB2312" w:cs="FangSong_GB2312"/>
          <w:color w:val="000000"/>
          <w:sz w:val="30"/>
          <w:szCs w:val="30"/>
          <w:shd w:val="clear" w:color="auto" w:fill="FFFFFF"/>
        </w:rPr>
        <w:t>要求每名硕士生参加读书报告会、专题研讨会</w:t>
      </w:r>
      <w:r>
        <w:rPr>
          <w:rFonts w:ascii="FangSong_GB2312" w:hAnsi="FangSong_GB2312" w:cs="FangSong_GB2312"/>
          <w:color w:val="000000"/>
          <w:sz w:val="30"/>
          <w:szCs w:val="30"/>
          <w:shd w:val="clear" w:color="auto" w:fill="FFFFFF"/>
        </w:rPr>
        <w:t>2</w:t>
      </w:r>
      <w:r>
        <w:rPr>
          <w:rFonts w:hint="eastAsia" w:ascii="FangSong_GB2312" w:hAnsi="FangSong_GB2312" w:cs="FangSong_GB2312"/>
          <w:color w:val="000000"/>
          <w:sz w:val="30"/>
          <w:szCs w:val="30"/>
          <w:shd w:val="clear" w:color="auto" w:fill="FFFFFF"/>
        </w:rPr>
        <w:t>次以上或</w:t>
      </w:r>
      <w:r>
        <w:rPr>
          <w:rFonts w:hint="eastAsia" w:ascii="FangSong_GB2312" w:hAnsi="FangSong_GB2312" w:cs="FangSong_GB2312"/>
          <w:sz w:val="30"/>
          <w:szCs w:val="30"/>
        </w:rPr>
        <w:t>提交</w:t>
      </w:r>
      <w:r>
        <w:rPr>
          <w:rFonts w:hint="eastAsia" w:ascii="FangSong_GB2312" w:hAnsi="FangSong_GB2312" w:cs="FangSong_GB2312"/>
          <w:sz w:val="30"/>
          <w:szCs w:val="30"/>
          <w:lang w:val="en-US" w:eastAsia="zh-CN"/>
        </w:rPr>
        <w:t>10</w:t>
      </w:r>
      <w:r>
        <w:rPr>
          <w:rFonts w:hint="eastAsia" w:ascii="FangSong_GB2312" w:hAnsi="FangSong_GB2312" w:cs="FangSong_GB2312"/>
          <w:sz w:val="30"/>
          <w:szCs w:val="30"/>
        </w:rPr>
        <w:t>份研读报告</w:t>
      </w:r>
      <w:r>
        <w:rPr>
          <w:rFonts w:hint="eastAsia" w:ascii="FangSong_GB2312" w:hAnsi="FangSong_GB2312" w:cs="FangSong_GB2312"/>
          <w:color w:val="000000"/>
          <w:sz w:val="30"/>
          <w:szCs w:val="30"/>
          <w:shd w:val="clear" w:color="auto" w:fill="FFFFFF"/>
        </w:rPr>
        <w:t>，达到此要求方可获得相应学分。</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sz w:val="30"/>
          <w:szCs w:val="30"/>
        </w:rPr>
        <w:t>2.</w:t>
      </w:r>
      <w:r>
        <w:rPr>
          <w:rFonts w:hint="eastAsia" w:ascii="FangSong_GB2312" w:hAnsi="FangSong_GB2312" w:cs="FangSong_GB2312"/>
          <w:sz w:val="30"/>
          <w:szCs w:val="30"/>
          <w:lang w:val="en-US" w:eastAsia="zh-CN"/>
        </w:rPr>
        <w:t>行业</w:t>
      </w:r>
      <w:r>
        <w:rPr>
          <w:rFonts w:hint="eastAsia" w:ascii="FangSong_GB2312" w:hAnsi="FangSong_GB2312" w:cs="FangSong_GB2312"/>
          <w:sz w:val="30"/>
          <w:szCs w:val="30"/>
        </w:rPr>
        <w:t>讲座及报告（1学分）</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sz w:val="30"/>
          <w:szCs w:val="30"/>
        </w:rPr>
        <w:t>本专业领域硕士生在学期间须</w:t>
      </w:r>
      <w:r>
        <w:rPr>
          <w:rFonts w:hint="eastAsia" w:ascii="FangSong_GB2312" w:hAnsi="FangSong_GB2312" w:cs="FangSong_GB2312"/>
          <w:color w:val="000000"/>
          <w:sz w:val="30"/>
          <w:szCs w:val="30"/>
          <w:shd w:val="clear" w:color="auto" w:fill="FFFFFF"/>
        </w:rPr>
        <w:t>听取学术报告10次以上，自主开设2次学术报告</w:t>
      </w:r>
      <w:r>
        <w:rPr>
          <w:rFonts w:hint="eastAsia" w:ascii="FangSong_GB2312" w:hAnsi="FangSong_GB2312" w:cs="FangSong_GB2312"/>
          <w:sz w:val="30"/>
          <w:szCs w:val="30"/>
        </w:rPr>
        <w:t>，并填写《闽南师范大学研究生学术活动登记表》，</w:t>
      </w:r>
      <w:r>
        <w:rPr>
          <w:rFonts w:hint="eastAsia" w:ascii="FangSong_GB2312" w:hAnsi="FangSong_GB2312" w:cs="FangSong_GB2312"/>
          <w:color w:val="000000"/>
          <w:sz w:val="30"/>
          <w:szCs w:val="30"/>
          <w:shd w:val="clear" w:color="auto" w:fill="FFFFFF"/>
        </w:rPr>
        <w:t>达到此要求方可获得相应学分</w:t>
      </w:r>
      <w:r>
        <w:rPr>
          <w:rFonts w:hint="eastAsia" w:ascii="FangSong_GB2312" w:hAnsi="FangSong_GB2312" w:cs="FangSong_GB2312"/>
          <w:sz w:val="30"/>
          <w:szCs w:val="30"/>
        </w:rPr>
        <w:t>。</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sz w:val="30"/>
          <w:szCs w:val="30"/>
        </w:rPr>
        <w:t>3.实践</w:t>
      </w:r>
      <w:r>
        <w:rPr>
          <w:rFonts w:hint="eastAsia" w:ascii="FangSong_GB2312" w:hAnsi="FangSong_GB2312" w:cs="FangSong_GB2312"/>
          <w:sz w:val="30"/>
          <w:szCs w:val="30"/>
          <w:lang w:val="en-US" w:eastAsia="zh-CN"/>
        </w:rPr>
        <w:t>教学</w:t>
      </w:r>
      <w:r>
        <w:rPr>
          <w:rFonts w:hint="eastAsia" w:ascii="FangSong_GB2312" w:hAnsi="FangSong_GB2312" w:cs="FangSong_GB2312"/>
          <w:sz w:val="30"/>
          <w:szCs w:val="30"/>
        </w:rPr>
        <w:t>（8学分）</w:t>
      </w:r>
    </w:p>
    <w:p>
      <w:pPr>
        <w:spacing w:line="540" w:lineRule="exact"/>
        <w:ind w:firstLine="600" w:firstLineChars="200"/>
        <w:jc w:val="left"/>
        <w:rPr>
          <w:rFonts w:ascii="FangSong_GB2312" w:hAnsi="FangSong_GB2312" w:cs="FangSong_GB2312"/>
          <w:sz w:val="30"/>
          <w:szCs w:val="30"/>
        </w:rPr>
      </w:pPr>
      <w:r>
        <w:rPr>
          <w:rFonts w:hint="eastAsia" w:ascii="FangSong_GB2312" w:hAnsi="FangSong_GB2312" w:cs="FangSong_GB2312"/>
          <w:sz w:val="30"/>
          <w:szCs w:val="30"/>
        </w:rPr>
        <w:t>实践</w:t>
      </w:r>
      <w:r>
        <w:rPr>
          <w:rFonts w:hint="eastAsia" w:ascii="FangSong_GB2312" w:hAnsi="FangSong_GB2312" w:cs="FangSong_GB2312"/>
          <w:sz w:val="30"/>
          <w:szCs w:val="30"/>
          <w:lang w:val="en-US" w:eastAsia="zh-CN"/>
        </w:rPr>
        <w:t>教学</w:t>
      </w:r>
      <w:r>
        <w:rPr>
          <w:rFonts w:hint="eastAsia" w:ascii="FangSong_GB2312" w:hAnsi="FangSong_GB2312" w:cs="FangSong_GB2312"/>
          <w:sz w:val="30"/>
          <w:szCs w:val="30"/>
        </w:rPr>
        <w:t>包含校内实训和校外实践两个环节。其中，校内实训（2学分）</w:t>
      </w:r>
      <w:r>
        <w:rPr>
          <w:rFonts w:hint="eastAsia" w:ascii="FangSong_GB2312" w:hAnsi="FangSong_GB2312" w:cs="FangSong_GB2312"/>
          <w:sz w:val="30"/>
          <w:szCs w:val="30"/>
          <w:lang w:val="en-US" w:eastAsia="zh-CN"/>
        </w:rPr>
        <w:t>共32学时，</w:t>
      </w:r>
      <w:r>
        <w:rPr>
          <w:rFonts w:hint="eastAsia" w:ascii="FangSong_GB2312" w:hAnsi="FangSong_GB2312" w:cs="FangSong_GB2312"/>
          <w:sz w:val="30"/>
          <w:szCs w:val="30"/>
        </w:rPr>
        <w:t>包括</w:t>
      </w:r>
      <w:r>
        <w:rPr>
          <w:rFonts w:hint="eastAsia" w:ascii="FangSong_GB2312" w:hAnsi="FangSong_GB2312" w:cs="FangSong_GB2312"/>
          <w:sz w:val="30"/>
          <w:szCs w:val="30"/>
          <w:lang w:val="en-US" w:eastAsia="zh-CN"/>
        </w:rPr>
        <w:t>教材重难点与课例分析12学时</w:t>
      </w:r>
      <w:r>
        <w:rPr>
          <w:rFonts w:hint="eastAsia" w:ascii="FangSong_GB2312" w:hAnsi="FangSong_GB2312" w:cs="FangSong_GB2312"/>
          <w:sz w:val="30"/>
          <w:szCs w:val="30"/>
        </w:rPr>
        <w:t>、</w:t>
      </w:r>
      <w:r>
        <w:rPr>
          <w:rFonts w:hint="eastAsia" w:ascii="FangSong_GB2312" w:hAnsi="FangSong_GB2312" w:cs="FangSong_GB2312"/>
          <w:sz w:val="30"/>
          <w:szCs w:val="30"/>
          <w:lang w:val="en-US" w:eastAsia="zh-CN"/>
        </w:rPr>
        <w:t>教案设计与新媒体运用4学时</w:t>
      </w:r>
      <w:r>
        <w:rPr>
          <w:rFonts w:hint="eastAsia" w:ascii="FangSong_GB2312" w:hAnsi="FangSong_GB2312" w:cs="FangSong_GB2312"/>
          <w:sz w:val="30"/>
          <w:szCs w:val="30"/>
        </w:rPr>
        <w:t>、</w:t>
      </w:r>
      <w:r>
        <w:rPr>
          <w:rFonts w:hint="eastAsia" w:ascii="FangSong_GB2312" w:hAnsi="FangSong_GB2312" w:cs="FangSong_GB2312"/>
          <w:sz w:val="30"/>
          <w:szCs w:val="30"/>
          <w:lang w:val="en-US" w:eastAsia="zh-CN"/>
        </w:rPr>
        <w:t>教态使用与板书设计4学时、模拟教学与片段教学12学时</w:t>
      </w:r>
      <w:r>
        <w:rPr>
          <w:rFonts w:hint="eastAsia" w:ascii="FangSong_GB2312" w:hAnsi="FangSong_GB2312" w:cs="FangSong_GB2312"/>
          <w:sz w:val="30"/>
          <w:szCs w:val="30"/>
        </w:rPr>
        <w:t>；校外实践（6学分）包括教育见习（1学分）、教育实习（4学分）、教育研习（1学分）。专业实践时间不少于1学年，其中校外集中实践不少于1学期。校内实训在第</w:t>
      </w:r>
      <w:r>
        <w:rPr>
          <w:rFonts w:hint="eastAsia" w:ascii="FangSong_GB2312" w:hAnsi="FangSong_GB2312" w:cs="FangSong_GB2312"/>
          <w:sz w:val="30"/>
          <w:szCs w:val="30"/>
          <w:lang w:val="en-US" w:eastAsia="zh-CN"/>
        </w:rPr>
        <w:t>一、</w:t>
      </w:r>
      <w:r>
        <w:rPr>
          <w:rFonts w:hint="eastAsia" w:ascii="FangSong_GB2312" w:hAnsi="FangSong_GB2312" w:cs="FangSong_GB2312"/>
          <w:sz w:val="30"/>
          <w:szCs w:val="30"/>
        </w:rPr>
        <w:t>二学期完成；教育见习在第</w:t>
      </w:r>
      <w:r>
        <w:rPr>
          <w:rFonts w:hint="eastAsia" w:ascii="FangSong_GB2312" w:hAnsi="FangSong_GB2312" w:cs="FangSong_GB2312"/>
          <w:sz w:val="30"/>
          <w:szCs w:val="30"/>
          <w:lang w:val="en-US" w:eastAsia="zh-CN"/>
        </w:rPr>
        <w:t>二</w:t>
      </w:r>
      <w:r>
        <w:rPr>
          <w:rFonts w:hint="eastAsia" w:ascii="FangSong_GB2312" w:hAnsi="FangSong_GB2312" w:cs="FangSong_GB2312"/>
          <w:sz w:val="30"/>
          <w:szCs w:val="30"/>
        </w:rPr>
        <w:t>学期完成，教育实习、教育研习在第三学期完成。</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sz w:val="30"/>
          <w:szCs w:val="30"/>
        </w:rPr>
        <w:t>4.中期考核</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sz w:val="30"/>
          <w:szCs w:val="30"/>
          <w:shd w:val="clear" w:color="auto" w:fill="FFFFFF"/>
        </w:rPr>
        <w:t>在课程学习结束、开题报告完成后组织对研究生进行中期考核，综合考查研究生政治思想、课程学习、科研能力和专业实践能力以及身体健康等方面的状况，具体考核办法和处理按照</w:t>
      </w:r>
      <w:r>
        <w:rPr>
          <w:rFonts w:hint="eastAsia" w:ascii="FangSong_GB2312" w:hAnsi="FangSong_GB2312" w:cs="FangSong_GB2312"/>
          <w:sz w:val="30"/>
          <w:szCs w:val="30"/>
        </w:rPr>
        <w:t>《闽南师范大学硕士研究生中期考核办法》</w:t>
      </w:r>
      <w:r>
        <w:rPr>
          <w:rFonts w:hint="eastAsia" w:ascii="FangSong_GB2312" w:hAnsi="FangSong_GB2312" w:cs="FangSong_GB2312"/>
          <w:sz w:val="30"/>
          <w:szCs w:val="30"/>
          <w:shd w:val="clear" w:color="auto" w:fill="FFFFFF"/>
        </w:rPr>
        <w:t>执行，</w:t>
      </w:r>
      <w:r>
        <w:rPr>
          <w:rFonts w:hint="eastAsia" w:ascii="FangSong_GB2312" w:hAnsi="FangSong_GB2312" w:cs="FangSong_GB2312"/>
          <w:sz w:val="30"/>
          <w:szCs w:val="30"/>
        </w:rPr>
        <w:t>考核结果报学科建设与研究生工作处备案。</w:t>
      </w:r>
    </w:p>
    <w:p>
      <w:pPr>
        <w:spacing w:line="540" w:lineRule="exact"/>
        <w:ind w:right="-19" w:rightChars="-6" w:firstLine="640" w:firstLineChars="200"/>
        <w:rPr>
          <w:rFonts w:ascii="黑体" w:hAnsi="黑体" w:eastAsia="黑体"/>
        </w:rPr>
      </w:pPr>
      <w:r>
        <w:rPr>
          <w:rFonts w:hint="eastAsia" w:ascii="黑体" w:hAnsi="黑体" w:eastAsia="黑体"/>
        </w:rPr>
        <w:t>十一、毕业要求和标准</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sz w:val="30"/>
          <w:szCs w:val="30"/>
        </w:rPr>
        <w:t>本专业领域的硕士生在弹性学制规定的最长学习年限内（5年）完成培养方案规定的全部课程学习和其他教学环节，考试、考查成绩达到学校毕业要求，完成学位论文并通过答辩，可申请毕业并获取相应毕业证书。</w:t>
      </w:r>
    </w:p>
    <w:p>
      <w:pPr>
        <w:spacing w:line="540" w:lineRule="exact"/>
        <w:ind w:right="-19" w:rightChars="-6" w:firstLine="640" w:firstLineChars="200"/>
        <w:rPr>
          <w:rFonts w:ascii="黑体" w:hAnsi="黑体" w:eastAsia="黑体"/>
        </w:rPr>
      </w:pPr>
      <w:r>
        <w:rPr>
          <w:rFonts w:hint="eastAsia" w:ascii="黑体" w:hAnsi="黑体" w:eastAsia="黑体"/>
        </w:rPr>
        <w:t>十二、学位论文</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sz w:val="30"/>
          <w:szCs w:val="30"/>
        </w:rPr>
        <w:t>1.选题要求</w:t>
      </w:r>
    </w:p>
    <w:p>
      <w:pPr>
        <w:spacing w:line="540" w:lineRule="exact"/>
        <w:ind w:firstLine="560"/>
        <w:rPr>
          <w:rFonts w:ascii="FangSong_GB2312" w:hAnsi="FangSong_GB2312" w:cs="FangSong_GB2312"/>
          <w:sz w:val="30"/>
          <w:szCs w:val="30"/>
        </w:rPr>
      </w:pPr>
      <w:r>
        <w:rPr>
          <w:rFonts w:hint="eastAsia" w:ascii="FangSong_GB2312" w:hAnsi="FangSong_GB2312" w:cs="FangSong_GB2312"/>
          <w:sz w:val="30"/>
          <w:szCs w:val="30"/>
        </w:rPr>
        <w:t>学位论文选题应与学科教学（语文）专业领域的培养目标相一致，来源于中学语文教育教学的实际问题，具有一定的创新性和应用价值。</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sz w:val="30"/>
          <w:szCs w:val="30"/>
        </w:rPr>
        <w:t>2.学位论文形式和规范要求</w:t>
      </w:r>
    </w:p>
    <w:p>
      <w:pPr>
        <w:pStyle w:val="4"/>
        <w:shd w:val="clear" w:color="auto" w:fill="FFFFFF"/>
        <w:adjustRightInd w:val="0"/>
        <w:snapToGrid w:val="0"/>
        <w:spacing w:before="0" w:beforeAutospacing="0" w:after="0" w:afterAutospacing="0" w:line="540" w:lineRule="exact"/>
        <w:ind w:firstLine="600" w:firstLineChars="200"/>
        <w:textAlignment w:val="baseline"/>
        <w:rPr>
          <w:rFonts w:ascii="FangSong_GB2312" w:hAnsi="FangSong_GB2312" w:eastAsia="FangSong_GB2312" w:cs="FangSong_GB2312"/>
          <w:color w:val="000000"/>
          <w:sz w:val="30"/>
          <w:szCs w:val="30"/>
        </w:rPr>
      </w:pPr>
      <w:r>
        <w:rPr>
          <w:rFonts w:hint="eastAsia" w:ascii="FangSong_GB2312" w:hAnsi="FangSong_GB2312" w:eastAsia="FangSong_GB2312" w:cs="FangSong_GB2312"/>
          <w:color w:val="000000"/>
          <w:sz w:val="30"/>
          <w:szCs w:val="30"/>
          <w:shd w:val="clear" w:color="auto" w:fill="FFFFFF"/>
        </w:rPr>
        <w:t>学位论文的形式可以多样化，如专题研究论文、调查研究报告、实验研究报告和案例研究报告等。论文正文部分字数不少于2万字。学位论文应真实、规范、完整、准确，符合《闽南师范大学硕士学位论文撰写格式规范》要求。</w:t>
      </w:r>
    </w:p>
    <w:p>
      <w:pPr>
        <w:spacing w:line="540" w:lineRule="exact"/>
        <w:ind w:firstLine="600" w:firstLineChars="200"/>
        <w:rPr>
          <w:rFonts w:ascii="FangSong_GB2312" w:hAnsi="FangSong_GB2312" w:cs="FangSong_GB2312"/>
          <w:sz w:val="30"/>
          <w:szCs w:val="30"/>
        </w:rPr>
      </w:pPr>
      <w:r>
        <w:rPr>
          <w:rFonts w:hint="eastAsia" w:ascii="FangSong_GB2312" w:hAnsi="FangSong_GB2312" w:cs="FangSong_GB2312"/>
          <w:sz w:val="30"/>
          <w:szCs w:val="30"/>
        </w:rPr>
        <w:t>3.学位论文的水平要求</w:t>
      </w:r>
    </w:p>
    <w:p>
      <w:pPr>
        <w:pStyle w:val="4"/>
        <w:shd w:val="clear" w:color="auto" w:fill="FFFFFF"/>
        <w:spacing w:before="0" w:beforeAutospacing="0" w:after="0" w:afterAutospacing="0" w:line="540" w:lineRule="exact"/>
        <w:ind w:firstLine="600" w:firstLineChars="200"/>
        <w:rPr>
          <w:rFonts w:ascii="FangSong_GB2312" w:hAnsi="FangSong_GB2312" w:eastAsia="FangSong_GB2312" w:cs="FangSong_GB2312"/>
          <w:sz w:val="30"/>
          <w:szCs w:val="30"/>
        </w:rPr>
      </w:pPr>
      <w:r>
        <w:rPr>
          <w:rFonts w:hint="eastAsia" w:ascii="FangSong_GB2312" w:hAnsi="FangSong_GB2312" w:eastAsia="FangSong_GB2312" w:cs="FangSong_GB2312"/>
          <w:sz w:val="30"/>
          <w:szCs w:val="30"/>
        </w:rPr>
        <w:t>学位论文必须概念清楚、立论正确、分析严谨、说理透彻、层次分明、数据可靠、文从字顺。同时在某一方面提出新的见解，具有一定应用价值，至少应符合下列标准之一：(1)发现并选用新的资料，开拓新的研究领域，</w:t>
      </w:r>
      <w:r>
        <w:rPr>
          <w:rFonts w:hint="eastAsia" w:ascii="FangSong_GB2312" w:hAnsi="FangSong_GB2312" w:eastAsia="FangSong_GB2312" w:cs="FangSong_GB2312"/>
          <w:sz w:val="30"/>
          <w:szCs w:val="30"/>
          <w:shd w:val="clear" w:color="auto" w:fill="FFFFFF"/>
        </w:rPr>
        <w:t>或对他人已研究的问题提出新的认识；(2)运用新的方法，进一步深化他人已有的认识，拓展该问题研究的深度和广度；(3)理论联系实际，以具体问题为导向，小题大作，应用各学科知识、理论与前沿成果，解决语文教育教学中的具体实践问题。</w:t>
      </w:r>
    </w:p>
    <w:p>
      <w:pPr>
        <w:spacing w:line="540" w:lineRule="exact"/>
        <w:ind w:right="-19" w:rightChars="-6" w:firstLine="600" w:firstLineChars="200"/>
        <w:rPr>
          <w:rFonts w:ascii="FangSong_GB2312" w:hAnsi="FangSong_GB2312"/>
          <w:sz w:val="30"/>
          <w:szCs w:val="30"/>
        </w:rPr>
      </w:pPr>
      <w:r>
        <w:rPr>
          <w:rFonts w:hint="eastAsia" w:ascii="FangSong_GB2312" w:hAnsi="FangSong_GB2312"/>
          <w:sz w:val="30"/>
          <w:szCs w:val="30"/>
        </w:rPr>
        <w:t>十三、其他要求</w:t>
      </w:r>
    </w:p>
    <w:p>
      <w:pPr>
        <w:pStyle w:val="4"/>
        <w:shd w:val="clear" w:color="auto" w:fill="FFFFFF"/>
        <w:wordWrap w:val="0"/>
        <w:adjustRightInd w:val="0"/>
        <w:snapToGrid w:val="0"/>
        <w:spacing w:before="0" w:beforeAutospacing="0" w:after="0" w:afterAutospacing="0" w:line="540" w:lineRule="exact"/>
        <w:ind w:firstLine="600" w:firstLineChars="200"/>
        <w:jc w:val="both"/>
        <w:rPr>
          <w:rFonts w:ascii="FangSong_GB2312" w:hAnsi="FangSong_GB2312" w:eastAsia="FangSong_GB2312" w:cs="FangSong_GB2312"/>
          <w:color w:val="000000"/>
          <w:sz w:val="30"/>
          <w:szCs w:val="30"/>
        </w:rPr>
      </w:pPr>
      <w:r>
        <w:rPr>
          <w:rFonts w:hint="eastAsia" w:ascii="FangSong_GB2312" w:hAnsi="FangSong_GB2312" w:eastAsia="FangSong_GB2312" w:cs="FangSong_GB2312"/>
          <w:color w:val="000000"/>
          <w:sz w:val="30"/>
          <w:szCs w:val="30"/>
          <w:shd w:val="clear" w:color="auto" w:fill="FFFFFF"/>
        </w:rPr>
        <w:t>1.开题报告：第二学期末确定学位论文题目并通过论文开题报告论证，写出论文工作计划。导师组可根据研究生的实际情况，确定论文开题的具体时间。</w:t>
      </w:r>
    </w:p>
    <w:p>
      <w:pPr>
        <w:pStyle w:val="4"/>
        <w:shd w:val="clear" w:color="auto" w:fill="FFFFFF"/>
        <w:wordWrap w:val="0"/>
        <w:adjustRightInd w:val="0"/>
        <w:snapToGrid w:val="0"/>
        <w:spacing w:before="0" w:beforeAutospacing="0" w:after="0" w:afterAutospacing="0" w:line="540" w:lineRule="exact"/>
        <w:ind w:firstLine="600" w:firstLineChars="200"/>
        <w:jc w:val="both"/>
        <w:rPr>
          <w:rFonts w:ascii="FangSong_GB2312" w:hAnsi="FangSong_GB2312" w:eastAsia="FangSong_GB2312" w:cs="FangSong_GB2312"/>
          <w:color w:val="000000"/>
          <w:sz w:val="30"/>
          <w:szCs w:val="30"/>
          <w:shd w:val="clear" w:color="auto" w:fill="FFFFFF"/>
        </w:rPr>
      </w:pPr>
      <w:r>
        <w:rPr>
          <w:rFonts w:hint="eastAsia" w:ascii="FangSong_GB2312" w:hAnsi="FangSong_GB2312" w:eastAsia="FangSong_GB2312" w:cs="FangSong_GB2312"/>
          <w:color w:val="000000"/>
          <w:sz w:val="30"/>
          <w:szCs w:val="30"/>
          <w:shd w:val="clear" w:color="auto" w:fill="FFFFFF"/>
        </w:rPr>
        <w:t>2.论文工作检查：本专业领域硕士生用于学位论文的工作时间一般不少于一年，在撰写过程中导</w:t>
      </w:r>
      <w:bookmarkStart w:id="1" w:name="_GoBack"/>
      <w:bookmarkEnd w:id="1"/>
      <w:r>
        <w:rPr>
          <w:rFonts w:hint="eastAsia" w:ascii="FangSong_GB2312" w:hAnsi="FangSong_GB2312" w:eastAsia="FangSong_GB2312" w:cs="FangSong_GB2312"/>
          <w:color w:val="000000"/>
          <w:sz w:val="30"/>
          <w:szCs w:val="30"/>
          <w:shd w:val="clear" w:color="auto" w:fill="FFFFFF"/>
        </w:rPr>
        <w:t>师要根据硕士生论文开题情况，检查论文写作计划的进展和完成情况，并针对论文写作中出现的问题加强指导，以保证学位论文工作的顺利进行。</w:t>
      </w:r>
    </w:p>
    <w:p>
      <w:pPr>
        <w:pStyle w:val="4"/>
        <w:shd w:val="clear" w:color="auto" w:fill="FFFFFF"/>
        <w:wordWrap w:val="0"/>
        <w:adjustRightInd w:val="0"/>
        <w:snapToGrid w:val="0"/>
        <w:spacing w:before="0" w:beforeAutospacing="0" w:after="0" w:afterAutospacing="0" w:line="540" w:lineRule="exact"/>
        <w:ind w:firstLine="600" w:firstLineChars="200"/>
        <w:jc w:val="both"/>
        <w:rPr>
          <w:rFonts w:ascii="FangSong_GB2312" w:hAnsi="FangSong_GB2312" w:eastAsia="FangSong_GB2312" w:cs="FangSong_GB2312"/>
          <w:color w:val="000000"/>
          <w:sz w:val="30"/>
          <w:szCs w:val="30"/>
        </w:rPr>
      </w:pPr>
      <w:r>
        <w:rPr>
          <w:rFonts w:hint="eastAsia" w:ascii="FangSong_GB2312" w:hAnsi="FangSong_GB2312" w:eastAsia="FangSong_GB2312" w:cs="FangSong_GB2312"/>
          <w:color w:val="000000"/>
          <w:sz w:val="30"/>
          <w:szCs w:val="30"/>
          <w:shd w:val="clear" w:color="auto" w:fill="FFFFFF"/>
        </w:rPr>
        <w:t>3.职业规划与指导：充分考虑全日制教育专业学位的培养特点，引导研究生在执行培养计划过程中，积极参加各种社会实践活动，了解就业市场状况、积累就业经验、掌握应聘技巧，进一步提高就业竞争力。</w:t>
      </w:r>
    </w:p>
    <w:p>
      <w:pPr>
        <w:spacing w:line="500" w:lineRule="exact"/>
        <w:ind w:right="-19" w:rightChars="-6"/>
        <w:jc w:val="left"/>
        <w:rPr>
          <w:rFonts w:ascii="黑体" w:hAnsi="黑体" w:eastAsia="黑体"/>
          <w:color w:val="000000"/>
        </w:rPr>
      </w:pPr>
    </w:p>
    <w:sectPr>
      <w:headerReference r:id="rId3" w:type="default"/>
      <w:footerReference r:id="rId4" w:type="default"/>
      <w:pgSz w:w="12240" w:h="15840"/>
      <w:pgMar w:top="1701" w:right="1644" w:bottom="1417" w:left="164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center</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rPr>
                              <w:rStyle w:val="7"/>
                              <w:rFonts w:ascii="宋体" w:hAnsi="宋体" w:eastAsia="宋体"/>
                              <w:sz w:val="28"/>
                            </w:rPr>
                          </w:pPr>
                          <w:r>
                            <w:rPr>
                              <w:rStyle w:val="7"/>
                              <w:rFonts w:hint="eastAsia" w:ascii="宋体" w:hAnsi="宋体" w:eastAsia="宋体"/>
                              <w:sz w:val="28"/>
                            </w:rPr>
                            <w:t xml:space="preserve">— </w:t>
                          </w:r>
                          <w:r>
                            <w:rPr>
                              <w:rStyle w:val="7"/>
                              <w:rFonts w:hint="eastAsia" w:ascii="宋体" w:hAnsi="宋体" w:eastAsia="宋体" w:cs="宋体"/>
                            </w:rPr>
                            <w:fldChar w:fldCharType="begin"/>
                          </w:r>
                          <w:r>
                            <w:rPr>
                              <w:rStyle w:val="7"/>
                              <w:rFonts w:hint="eastAsia" w:ascii="宋体" w:hAnsi="宋体" w:eastAsia="宋体" w:cs="宋体"/>
                            </w:rPr>
                            <w:instrText xml:space="preserve">PAGE  </w:instrText>
                          </w:r>
                          <w:r>
                            <w:rPr>
                              <w:rStyle w:val="7"/>
                              <w:rFonts w:hint="eastAsia" w:ascii="宋体" w:hAnsi="宋体" w:eastAsia="宋体" w:cs="宋体"/>
                            </w:rPr>
                            <w:fldChar w:fldCharType="separate"/>
                          </w:r>
                          <w:r>
                            <w:rPr>
                              <w:rStyle w:val="7"/>
                              <w:rFonts w:ascii="宋体" w:hAnsi="宋体" w:eastAsia="宋体" w:cs="宋体"/>
                            </w:rPr>
                            <w:t>10</w:t>
                          </w:r>
                          <w:r>
                            <w:rPr>
                              <w:rStyle w:val="7"/>
                              <w:rFonts w:hint="eastAsia" w:ascii="宋体" w:hAnsi="宋体" w:eastAsia="宋体" w:cs="宋体"/>
                            </w:rPr>
                            <w:fldChar w:fldCharType="end"/>
                          </w:r>
                          <w:r>
                            <w:rPr>
                              <w:rStyle w:val="7"/>
                              <w:rFonts w:hint="eastAsia"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center;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jc w:val="center"/>
                      <w:rPr>
                        <w:rStyle w:val="7"/>
                        <w:rFonts w:ascii="宋体" w:hAnsi="宋体" w:eastAsia="宋体"/>
                        <w:sz w:val="28"/>
                      </w:rPr>
                    </w:pPr>
                    <w:r>
                      <w:rPr>
                        <w:rStyle w:val="7"/>
                        <w:rFonts w:hint="eastAsia" w:ascii="宋体" w:hAnsi="宋体" w:eastAsia="宋体"/>
                        <w:sz w:val="28"/>
                      </w:rPr>
                      <w:t xml:space="preserve">— </w:t>
                    </w:r>
                    <w:r>
                      <w:rPr>
                        <w:rStyle w:val="7"/>
                        <w:rFonts w:hint="eastAsia" w:ascii="宋体" w:hAnsi="宋体" w:eastAsia="宋体" w:cs="宋体"/>
                      </w:rPr>
                      <w:fldChar w:fldCharType="begin"/>
                    </w:r>
                    <w:r>
                      <w:rPr>
                        <w:rStyle w:val="7"/>
                        <w:rFonts w:hint="eastAsia" w:ascii="宋体" w:hAnsi="宋体" w:eastAsia="宋体" w:cs="宋体"/>
                      </w:rPr>
                      <w:instrText xml:space="preserve">PAGE  </w:instrText>
                    </w:r>
                    <w:r>
                      <w:rPr>
                        <w:rStyle w:val="7"/>
                        <w:rFonts w:hint="eastAsia" w:ascii="宋体" w:hAnsi="宋体" w:eastAsia="宋体" w:cs="宋体"/>
                      </w:rPr>
                      <w:fldChar w:fldCharType="separate"/>
                    </w:r>
                    <w:r>
                      <w:rPr>
                        <w:rStyle w:val="7"/>
                        <w:rFonts w:ascii="宋体" w:hAnsi="宋体" w:eastAsia="宋体" w:cs="宋体"/>
                      </w:rPr>
                      <w:t>10</w:t>
                    </w:r>
                    <w:r>
                      <w:rPr>
                        <w:rStyle w:val="7"/>
                        <w:rFonts w:hint="eastAsia" w:ascii="宋体" w:hAnsi="宋体" w:eastAsia="宋体" w:cs="宋体"/>
                      </w:rPr>
                      <w:fldChar w:fldCharType="end"/>
                    </w:r>
                    <w:r>
                      <w:rPr>
                        <w:rStyle w:val="7"/>
                        <w:rFonts w:hint="eastAsia" w:ascii="宋体" w:hAnsi="宋体" w:eastAsia="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43F1C8"/>
    <w:multiLevelType w:val="singleLevel"/>
    <w:tmpl w:val="7543F1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DkxYzUwMWIwNDQzOWUxNTU1MTVjYTQ2MjA4MzAifQ=="/>
  </w:docVars>
  <w:rsids>
    <w:rsidRoot w:val="00172A27"/>
    <w:rsid w:val="00020F42"/>
    <w:rsid w:val="00034CA9"/>
    <w:rsid w:val="00055B87"/>
    <w:rsid w:val="000D51BF"/>
    <w:rsid w:val="0011253B"/>
    <w:rsid w:val="00115DCC"/>
    <w:rsid w:val="0013432E"/>
    <w:rsid w:val="001437BB"/>
    <w:rsid w:val="00144E93"/>
    <w:rsid w:val="00172A27"/>
    <w:rsid w:val="001E7F4E"/>
    <w:rsid w:val="002118BE"/>
    <w:rsid w:val="00233F11"/>
    <w:rsid w:val="002405A7"/>
    <w:rsid w:val="0025358D"/>
    <w:rsid w:val="00294D34"/>
    <w:rsid w:val="002D08C6"/>
    <w:rsid w:val="002E7850"/>
    <w:rsid w:val="003253C9"/>
    <w:rsid w:val="003367EB"/>
    <w:rsid w:val="00382908"/>
    <w:rsid w:val="0039585B"/>
    <w:rsid w:val="003C18C7"/>
    <w:rsid w:val="003C2708"/>
    <w:rsid w:val="003F0450"/>
    <w:rsid w:val="003F74CC"/>
    <w:rsid w:val="00413D2B"/>
    <w:rsid w:val="00491AF7"/>
    <w:rsid w:val="004E649D"/>
    <w:rsid w:val="005359EB"/>
    <w:rsid w:val="00562F60"/>
    <w:rsid w:val="0061350C"/>
    <w:rsid w:val="00616963"/>
    <w:rsid w:val="0064669C"/>
    <w:rsid w:val="00671269"/>
    <w:rsid w:val="006A0387"/>
    <w:rsid w:val="006B6FE0"/>
    <w:rsid w:val="006D24F3"/>
    <w:rsid w:val="0070461B"/>
    <w:rsid w:val="00714E19"/>
    <w:rsid w:val="00744A33"/>
    <w:rsid w:val="00794566"/>
    <w:rsid w:val="007A2607"/>
    <w:rsid w:val="00801FDF"/>
    <w:rsid w:val="008027BA"/>
    <w:rsid w:val="00814E1A"/>
    <w:rsid w:val="00862CE6"/>
    <w:rsid w:val="008A1681"/>
    <w:rsid w:val="008A7364"/>
    <w:rsid w:val="00903FFC"/>
    <w:rsid w:val="009266B4"/>
    <w:rsid w:val="0092749A"/>
    <w:rsid w:val="00952B76"/>
    <w:rsid w:val="00953C56"/>
    <w:rsid w:val="00A169E3"/>
    <w:rsid w:val="00A95AC7"/>
    <w:rsid w:val="00B20235"/>
    <w:rsid w:val="00B529C5"/>
    <w:rsid w:val="00BB25D5"/>
    <w:rsid w:val="00BE0C9B"/>
    <w:rsid w:val="00BE2132"/>
    <w:rsid w:val="00C77ED2"/>
    <w:rsid w:val="00C81AB1"/>
    <w:rsid w:val="00CF4F55"/>
    <w:rsid w:val="00D013EB"/>
    <w:rsid w:val="00E05D9B"/>
    <w:rsid w:val="00E33B5D"/>
    <w:rsid w:val="00E519AE"/>
    <w:rsid w:val="00E612BB"/>
    <w:rsid w:val="00E67A00"/>
    <w:rsid w:val="00EA1E93"/>
    <w:rsid w:val="00EC2A8F"/>
    <w:rsid w:val="00F01A14"/>
    <w:rsid w:val="00F1046F"/>
    <w:rsid w:val="00F136A9"/>
    <w:rsid w:val="00F6222F"/>
    <w:rsid w:val="00F671D2"/>
    <w:rsid w:val="00FE4FC5"/>
    <w:rsid w:val="00FF5835"/>
    <w:rsid w:val="02537F35"/>
    <w:rsid w:val="02C95DD1"/>
    <w:rsid w:val="02DA75F7"/>
    <w:rsid w:val="0360245F"/>
    <w:rsid w:val="045E1C6B"/>
    <w:rsid w:val="04C178CF"/>
    <w:rsid w:val="05644E13"/>
    <w:rsid w:val="070A0D63"/>
    <w:rsid w:val="07942741"/>
    <w:rsid w:val="079D17C4"/>
    <w:rsid w:val="07CB2B57"/>
    <w:rsid w:val="081E4FBF"/>
    <w:rsid w:val="089651BE"/>
    <w:rsid w:val="08A21412"/>
    <w:rsid w:val="09C714C9"/>
    <w:rsid w:val="0AD626B2"/>
    <w:rsid w:val="0B1B4EB1"/>
    <w:rsid w:val="0C335400"/>
    <w:rsid w:val="0CBB1248"/>
    <w:rsid w:val="0DF81B7E"/>
    <w:rsid w:val="0F671918"/>
    <w:rsid w:val="0F703791"/>
    <w:rsid w:val="0FE80CF3"/>
    <w:rsid w:val="100354A9"/>
    <w:rsid w:val="106C7DDC"/>
    <w:rsid w:val="116307C8"/>
    <w:rsid w:val="11C100F9"/>
    <w:rsid w:val="12136647"/>
    <w:rsid w:val="124D6550"/>
    <w:rsid w:val="1265692E"/>
    <w:rsid w:val="13446F33"/>
    <w:rsid w:val="136673C7"/>
    <w:rsid w:val="13B272DC"/>
    <w:rsid w:val="14453DA8"/>
    <w:rsid w:val="14AE38AE"/>
    <w:rsid w:val="150F6239"/>
    <w:rsid w:val="15143869"/>
    <w:rsid w:val="15237A07"/>
    <w:rsid w:val="170437AF"/>
    <w:rsid w:val="177C45C1"/>
    <w:rsid w:val="179D349E"/>
    <w:rsid w:val="17C43285"/>
    <w:rsid w:val="18301194"/>
    <w:rsid w:val="18420F99"/>
    <w:rsid w:val="188947E9"/>
    <w:rsid w:val="188B32A9"/>
    <w:rsid w:val="19523A5B"/>
    <w:rsid w:val="199F452E"/>
    <w:rsid w:val="1AEB5430"/>
    <w:rsid w:val="1B0B1C50"/>
    <w:rsid w:val="1C024783"/>
    <w:rsid w:val="1C0A1A6B"/>
    <w:rsid w:val="1C0C1E40"/>
    <w:rsid w:val="1C140ED2"/>
    <w:rsid w:val="1C3B6207"/>
    <w:rsid w:val="1CC9612E"/>
    <w:rsid w:val="1D301BB8"/>
    <w:rsid w:val="1D4476F9"/>
    <w:rsid w:val="1D4E6F36"/>
    <w:rsid w:val="1D7420B1"/>
    <w:rsid w:val="1E8F4494"/>
    <w:rsid w:val="1FB33A9F"/>
    <w:rsid w:val="1FC22AB9"/>
    <w:rsid w:val="20516EAC"/>
    <w:rsid w:val="20605EEE"/>
    <w:rsid w:val="20956353"/>
    <w:rsid w:val="20C0056A"/>
    <w:rsid w:val="21823C70"/>
    <w:rsid w:val="22EB58E6"/>
    <w:rsid w:val="23CD06F0"/>
    <w:rsid w:val="247A27B5"/>
    <w:rsid w:val="25047F34"/>
    <w:rsid w:val="251C2FD8"/>
    <w:rsid w:val="269476D2"/>
    <w:rsid w:val="26B958B6"/>
    <w:rsid w:val="272127F8"/>
    <w:rsid w:val="276A1ED1"/>
    <w:rsid w:val="28220114"/>
    <w:rsid w:val="29271818"/>
    <w:rsid w:val="2B575770"/>
    <w:rsid w:val="2C2422F5"/>
    <w:rsid w:val="2C6844F4"/>
    <w:rsid w:val="2C7B4CB4"/>
    <w:rsid w:val="2D292055"/>
    <w:rsid w:val="2D7D2805"/>
    <w:rsid w:val="2E016167"/>
    <w:rsid w:val="2E3E4162"/>
    <w:rsid w:val="304F7EA8"/>
    <w:rsid w:val="312E6AD1"/>
    <w:rsid w:val="329061B3"/>
    <w:rsid w:val="3382785B"/>
    <w:rsid w:val="338C0E69"/>
    <w:rsid w:val="34465349"/>
    <w:rsid w:val="3465548F"/>
    <w:rsid w:val="34CC0BCA"/>
    <w:rsid w:val="34FE340A"/>
    <w:rsid w:val="3552450F"/>
    <w:rsid w:val="35F51C7E"/>
    <w:rsid w:val="368B0047"/>
    <w:rsid w:val="369B2198"/>
    <w:rsid w:val="371C1538"/>
    <w:rsid w:val="37294AAC"/>
    <w:rsid w:val="385F5BAC"/>
    <w:rsid w:val="38FC4A97"/>
    <w:rsid w:val="39350B3D"/>
    <w:rsid w:val="39675AA6"/>
    <w:rsid w:val="3AC635D6"/>
    <w:rsid w:val="3AD44C17"/>
    <w:rsid w:val="3B0411BA"/>
    <w:rsid w:val="3B434797"/>
    <w:rsid w:val="3BF71C99"/>
    <w:rsid w:val="3BFB5054"/>
    <w:rsid w:val="3C50561E"/>
    <w:rsid w:val="3C507120"/>
    <w:rsid w:val="3C9665E1"/>
    <w:rsid w:val="3D2E12C9"/>
    <w:rsid w:val="3DE96513"/>
    <w:rsid w:val="3DF54ADF"/>
    <w:rsid w:val="3DFD2CA4"/>
    <w:rsid w:val="3E8F6AF9"/>
    <w:rsid w:val="3EA033F3"/>
    <w:rsid w:val="3F25532C"/>
    <w:rsid w:val="40067C61"/>
    <w:rsid w:val="40D7331C"/>
    <w:rsid w:val="41165DAB"/>
    <w:rsid w:val="41AB4021"/>
    <w:rsid w:val="42396060"/>
    <w:rsid w:val="438450DE"/>
    <w:rsid w:val="43A9542A"/>
    <w:rsid w:val="441617BD"/>
    <w:rsid w:val="44CE7D99"/>
    <w:rsid w:val="45996E75"/>
    <w:rsid w:val="45CC346E"/>
    <w:rsid w:val="45F732F1"/>
    <w:rsid w:val="46FE6A1E"/>
    <w:rsid w:val="47432899"/>
    <w:rsid w:val="48A0729D"/>
    <w:rsid w:val="48F77D51"/>
    <w:rsid w:val="497B3B6F"/>
    <w:rsid w:val="4A3A506A"/>
    <w:rsid w:val="4ABA16E5"/>
    <w:rsid w:val="4B9F6CF6"/>
    <w:rsid w:val="4D8E77FA"/>
    <w:rsid w:val="4D905F21"/>
    <w:rsid w:val="4D942FCB"/>
    <w:rsid w:val="4F827FA7"/>
    <w:rsid w:val="4FB856D0"/>
    <w:rsid w:val="4FE13425"/>
    <w:rsid w:val="50933B39"/>
    <w:rsid w:val="5117120B"/>
    <w:rsid w:val="52424BF2"/>
    <w:rsid w:val="528F3EDE"/>
    <w:rsid w:val="53B36731"/>
    <w:rsid w:val="55626898"/>
    <w:rsid w:val="5585631A"/>
    <w:rsid w:val="565D3A49"/>
    <w:rsid w:val="56E8469E"/>
    <w:rsid w:val="5763043C"/>
    <w:rsid w:val="578515EA"/>
    <w:rsid w:val="589B5A6F"/>
    <w:rsid w:val="58BF64F6"/>
    <w:rsid w:val="58FA3488"/>
    <w:rsid w:val="59670CE3"/>
    <w:rsid w:val="59B12133"/>
    <w:rsid w:val="5B170D83"/>
    <w:rsid w:val="5B330626"/>
    <w:rsid w:val="5B7F2E79"/>
    <w:rsid w:val="5BCE1242"/>
    <w:rsid w:val="5BE80838"/>
    <w:rsid w:val="5C1A26B6"/>
    <w:rsid w:val="5C2066CD"/>
    <w:rsid w:val="5CA27D1B"/>
    <w:rsid w:val="5CBD1B02"/>
    <w:rsid w:val="5CE172C2"/>
    <w:rsid w:val="5D4C7A46"/>
    <w:rsid w:val="5DD13DD2"/>
    <w:rsid w:val="5DF80FC2"/>
    <w:rsid w:val="5E5841F9"/>
    <w:rsid w:val="5E8E6928"/>
    <w:rsid w:val="5F87128E"/>
    <w:rsid w:val="604C56C7"/>
    <w:rsid w:val="60E47F50"/>
    <w:rsid w:val="61862627"/>
    <w:rsid w:val="61E31FA6"/>
    <w:rsid w:val="626B6045"/>
    <w:rsid w:val="626B6ED3"/>
    <w:rsid w:val="631A5E83"/>
    <w:rsid w:val="64783D7D"/>
    <w:rsid w:val="64C900A4"/>
    <w:rsid w:val="657F62D1"/>
    <w:rsid w:val="664462EC"/>
    <w:rsid w:val="6695722B"/>
    <w:rsid w:val="6705695C"/>
    <w:rsid w:val="67C47AC1"/>
    <w:rsid w:val="686B1198"/>
    <w:rsid w:val="68894BF7"/>
    <w:rsid w:val="68FB1E38"/>
    <w:rsid w:val="691776D9"/>
    <w:rsid w:val="693D13E8"/>
    <w:rsid w:val="69CA5947"/>
    <w:rsid w:val="6C691BD8"/>
    <w:rsid w:val="6C712C83"/>
    <w:rsid w:val="6D114966"/>
    <w:rsid w:val="6DB835A5"/>
    <w:rsid w:val="6DFF7CAB"/>
    <w:rsid w:val="6E616A09"/>
    <w:rsid w:val="6EBC4842"/>
    <w:rsid w:val="6F1D4C1B"/>
    <w:rsid w:val="704E67F3"/>
    <w:rsid w:val="71301EF3"/>
    <w:rsid w:val="73314D52"/>
    <w:rsid w:val="733D1B14"/>
    <w:rsid w:val="73423C1A"/>
    <w:rsid w:val="735C488F"/>
    <w:rsid w:val="739D4CA9"/>
    <w:rsid w:val="73DD2F1E"/>
    <w:rsid w:val="747E3F4C"/>
    <w:rsid w:val="74B135C7"/>
    <w:rsid w:val="74C52529"/>
    <w:rsid w:val="74D93B10"/>
    <w:rsid w:val="751B4841"/>
    <w:rsid w:val="75767ACF"/>
    <w:rsid w:val="76235BD0"/>
    <w:rsid w:val="763E0E8A"/>
    <w:rsid w:val="76822E91"/>
    <w:rsid w:val="76AA09FB"/>
    <w:rsid w:val="773E5342"/>
    <w:rsid w:val="775867B8"/>
    <w:rsid w:val="77E91B5D"/>
    <w:rsid w:val="77F67E36"/>
    <w:rsid w:val="7899684C"/>
    <w:rsid w:val="78D74C24"/>
    <w:rsid w:val="790F1DAD"/>
    <w:rsid w:val="79C63D6E"/>
    <w:rsid w:val="7A1A2A6A"/>
    <w:rsid w:val="7ABE6D38"/>
    <w:rsid w:val="7AEC6624"/>
    <w:rsid w:val="7C831CEC"/>
    <w:rsid w:val="7C914327"/>
    <w:rsid w:val="7CAA1CA3"/>
    <w:rsid w:val="7CC04760"/>
    <w:rsid w:val="7F037E7C"/>
    <w:rsid w:val="7F6A7224"/>
    <w:rsid w:val="7FB15D90"/>
    <w:rsid w:val="7FCB4D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imes New Roman" w:hAnsi="Times New Roman" w:eastAsia="FangSong_GB2312" w:cstheme="minorBidi"/>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basedOn w:val="6"/>
    <w:unhideWhenUsed/>
    <w:qFormat/>
    <w:uiPriority w:val="0"/>
    <w:rPr>
      <w:rFonts w:hint="default"/>
      <w:sz w:val="24"/>
      <w:szCs w:val="24"/>
    </w:rPr>
  </w:style>
  <w:style w:type="character" w:customStyle="1" w:styleId="8">
    <w:name w:val="15"/>
    <w:basedOn w:val="6"/>
    <w:qFormat/>
    <w:uiPriority w:val="0"/>
    <w:rPr>
      <w:rFonts w:hint="default"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3648</Words>
  <Characters>3721</Characters>
  <Lines>38</Lines>
  <Paragraphs>10</Paragraphs>
  <TotalTime>10</TotalTime>
  <ScaleCrop>false</ScaleCrop>
  <LinksUpToDate>false</LinksUpToDate>
  <CharactersWithSpaces>3802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2021-07-09T07:53:00Z</dcterms:created>
  <dc:creator>DELL</dc:creator>
  <cp:lastModifiedBy>诺</cp:lastModifiedBy>
  <cp:lastPrinted>2023-11-01T01:36:00Z</cp:lastPrinted>
  <dcterms:modified xsi:type="dcterms:W3CDTF">2024-06-26T02:10:50Z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BDB1928F0B774BDC903F53F6936F7319_13</vt:lpwstr>
  </property>
</Properties>
</file>